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386" w:type="dxa"/>
        <w:tblLook w:val="04A0" w:firstRow="1" w:lastRow="0" w:firstColumn="1" w:lastColumn="0" w:noHBand="0" w:noVBand="1"/>
      </w:tblPr>
      <w:tblGrid>
        <w:gridCol w:w="9386"/>
      </w:tblGrid>
      <w:tr w:rsidR="00F204A7" w:rsidRPr="00D84E02" w14:paraId="3C414E7D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688E18A" w14:textId="6F7C3B48" w:rsidR="00F204A7" w:rsidRPr="00E65A5B" w:rsidRDefault="00F204A7" w:rsidP="00F204A7">
            <w:pPr>
              <w:tabs>
                <w:tab w:val="left" w:pos="541"/>
              </w:tabs>
              <w:rPr>
                <w:rFonts w:ascii="Calibri" w:hAnsi="Calibri"/>
                <w:b/>
                <w:sz w:val="22"/>
                <w:szCs w:val="22"/>
              </w:rPr>
            </w:pPr>
            <w:r w:rsidRPr="00E65A5B">
              <w:rPr>
                <w:rFonts w:ascii="Calibri" w:hAnsi="Calibri"/>
                <w:b/>
                <w:sz w:val="22"/>
                <w:szCs w:val="22"/>
              </w:rPr>
              <w:t xml:space="preserve">Allgemeiner Hinweis </w:t>
            </w:r>
          </w:p>
        </w:tc>
      </w:tr>
      <w:tr w:rsidR="00F204A7" w:rsidRPr="00D84E02" w14:paraId="1AA126FD" w14:textId="77777777" w:rsidTr="00F8545B">
        <w:trPr>
          <w:trHeight w:val="1130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CE1DA" w14:textId="1B3B255C" w:rsidR="00FB3370" w:rsidRPr="00FB3370" w:rsidRDefault="00FB3370" w:rsidP="00F8545B">
            <w:pPr>
              <w:jc w:val="left"/>
              <w:rPr>
                <w:rFonts w:ascii="Calibri" w:hAnsi="Calibri"/>
                <w:bCs/>
              </w:rPr>
            </w:pPr>
            <w:r w:rsidRPr="00FB3370">
              <w:rPr>
                <w:rFonts w:ascii="Calibri" w:hAnsi="Calibri"/>
                <w:bCs/>
              </w:rPr>
              <w:t xml:space="preserve">Diese Vertiefung betrachtet noch einen weiteren Aspekt der Funktionsweise des Landesparlaments: wie aus Meinungen oder parteipolitischen Anliegen schließlich ein Gesetz wird. Sollte im Rahmen der Vorbereitungszeit von </w:t>
            </w:r>
            <w:proofErr w:type="spellStart"/>
            <w:r w:rsidRPr="00FB3370">
              <w:rPr>
                <w:rFonts w:ascii="Calibri" w:hAnsi="Calibri"/>
                <w:bCs/>
              </w:rPr>
              <w:t>dialogP</w:t>
            </w:r>
            <w:proofErr w:type="spellEnd"/>
            <w:r w:rsidRPr="00FB3370">
              <w:rPr>
                <w:rFonts w:ascii="Calibri" w:hAnsi="Calibri"/>
                <w:bCs/>
              </w:rPr>
              <w:t xml:space="preserve"> noch genug Zeit sein, bietet diese inhaltliche Vertiefung interessante Einblicke in die Arbeit des Landtages mit den verschiedenen Fachausschüssen und den Gesetzgebun</w:t>
            </w:r>
            <w:r>
              <w:rPr>
                <w:rFonts w:ascii="Calibri" w:hAnsi="Calibri"/>
                <w:bCs/>
              </w:rPr>
              <w:t>g</w:t>
            </w:r>
            <w:r w:rsidRPr="00FB3370">
              <w:rPr>
                <w:rFonts w:ascii="Calibri" w:hAnsi="Calibri"/>
                <w:bCs/>
              </w:rPr>
              <w:t>sprozess.</w:t>
            </w:r>
          </w:p>
        </w:tc>
      </w:tr>
      <w:tr w:rsidR="00F204A7" w:rsidRPr="00D84E02" w14:paraId="3C9DC3EA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36173A1" w14:textId="728A4809" w:rsidR="00F204A7" w:rsidRPr="007A013B" w:rsidRDefault="00F204A7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 w:rsidRPr="007A013B">
              <w:rPr>
                <w:rFonts w:ascii="Calibri" w:hAnsi="Calibri"/>
                <w:b/>
                <w:sz w:val="22"/>
                <w:szCs w:val="22"/>
              </w:rPr>
              <w:t>Einstieg</w:t>
            </w:r>
          </w:p>
        </w:tc>
      </w:tr>
      <w:tr w:rsidR="00F204A7" w:rsidRPr="00D84E02" w14:paraId="2395A118" w14:textId="77777777" w:rsidTr="00F8545B">
        <w:trPr>
          <w:trHeight w:val="1830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ECCF5" w14:textId="75D19966" w:rsidR="00F204A7" w:rsidRPr="00523683" w:rsidRDefault="00F204A7" w:rsidP="00F8545B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523683">
              <w:rPr>
                <w:rFonts w:ascii="Calibri" w:hAnsi="Calibri"/>
              </w:rPr>
              <w:t>Der Film dient als Einstieg und gleichzeitige als Grundlage für die</w:t>
            </w:r>
            <w:r w:rsidR="00E65A5B">
              <w:rPr>
                <w:rFonts w:ascii="Calibri" w:hAnsi="Calibri"/>
              </w:rPr>
              <w:t xml:space="preserve">se Vertiefung. </w:t>
            </w:r>
          </w:p>
          <w:p w14:paraId="7D5F9FFE" w14:textId="77777777" w:rsidR="00437432" w:rsidRDefault="00F8545B" w:rsidP="00F8545B">
            <w:pPr>
              <w:jc w:val="left"/>
              <w:rPr>
                <w:rFonts w:ascii="Calibri" w:hAnsi="Calibri"/>
                <w:color w:val="000000" w:themeColor="text1"/>
              </w:rPr>
            </w:pPr>
            <w:r w:rsidRPr="00FA7E20">
              <w:rPr>
                <w:rFonts w:ascii="Calibri" w:hAnsi="Calibri"/>
                <w:color w:val="000000" w:themeColor="text1"/>
              </w:rPr>
              <w:t xml:space="preserve">Weblink zum </w:t>
            </w:r>
            <w:proofErr w:type="spellStart"/>
            <w:r w:rsidR="00437432">
              <w:rPr>
                <w:rFonts w:ascii="Calibri" w:hAnsi="Calibri"/>
                <w:color w:val="000000" w:themeColor="text1"/>
              </w:rPr>
              <w:t>Erklärfilm</w:t>
            </w:r>
            <w:proofErr w:type="spellEnd"/>
            <w:r w:rsidR="00437432">
              <w:rPr>
                <w:rFonts w:ascii="Calibri" w:hAnsi="Calibri"/>
                <w:color w:val="000000" w:themeColor="text1"/>
              </w:rPr>
              <w:t xml:space="preserve"> zum Landtag Brandenburg</w:t>
            </w:r>
            <w:r w:rsidRPr="00FA7E20">
              <w:rPr>
                <w:rFonts w:ascii="Calibri" w:hAnsi="Calibri"/>
                <w:color w:val="000000" w:themeColor="text1"/>
              </w:rPr>
              <w:t xml:space="preserve">: </w:t>
            </w:r>
          </w:p>
          <w:p w14:paraId="6BD91373" w14:textId="664EF025" w:rsidR="00F8545B" w:rsidRPr="00437432" w:rsidRDefault="00437432" w:rsidP="00F8545B">
            <w:pPr>
              <w:jc w:val="left"/>
              <w:rPr>
                <w:rFonts w:ascii="Calibri" w:hAnsi="Calibri"/>
                <w:color w:val="000000" w:themeColor="text1"/>
                <w:u w:val="single"/>
              </w:rPr>
            </w:pPr>
            <w:r w:rsidRPr="00437432">
              <w:rPr>
                <w:rFonts w:ascii="Calibri" w:hAnsi="Calibri"/>
                <w:color w:val="000000" w:themeColor="text1"/>
                <w:u w:val="single"/>
              </w:rPr>
              <w:t xml:space="preserve">https://www.youtube.com/watch?v=DslR68iQ5Y8&amp;feature=youtu.be </w:t>
            </w:r>
          </w:p>
          <w:p w14:paraId="6C96E200" w14:textId="77777777" w:rsidR="00F8545B" w:rsidRPr="00FA7E20" w:rsidRDefault="00F8545B" w:rsidP="00F8545B">
            <w:pPr>
              <w:jc w:val="left"/>
              <w:rPr>
                <w:rFonts w:ascii="Calibri" w:hAnsi="Calibri"/>
                <w:color w:val="000000" w:themeColor="text1"/>
              </w:rPr>
            </w:pPr>
            <w:r w:rsidRPr="00523683">
              <w:rPr>
                <w:rFonts w:ascii="Calibri" w:hAnsi="Calibri"/>
              </w:rPr>
              <w:t>Tipp: Die S</w:t>
            </w:r>
            <w:r>
              <w:rPr>
                <w:rFonts w:ascii="Calibri" w:hAnsi="Calibri"/>
              </w:rPr>
              <w:t>chüler*innen</w:t>
            </w:r>
            <w:r w:rsidRPr="00523683">
              <w:rPr>
                <w:rFonts w:ascii="Calibri" w:hAnsi="Calibri"/>
              </w:rPr>
              <w:t xml:space="preserve"> können den Film auch auf </w:t>
            </w:r>
            <w:r>
              <w:rPr>
                <w:rFonts w:ascii="Calibri" w:hAnsi="Calibri"/>
              </w:rPr>
              <w:t>i</w:t>
            </w:r>
            <w:r w:rsidRPr="00523683">
              <w:rPr>
                <w:rFonts w:ascii="Calibri" w:hAnsi="Calibri"/>
              </w:rPr>
              <w:t>hrem Smartphone noch einmal und mit individuellen Abspielpausen ansehen</w:t>
            </w:r>
            <w:r>
              <w:rPr>
                <w:rFonts w:ascii="Calibri" w:hAnsi="Calibri"/>
              </w:rPr>
              <w:t>.</w:t>
            </w:r>
          </w:p>
          <w:p w14:paraId="6C2E26E8" w14:textId="77777777" w:rsidR="00F8545B" w:rsidRPr="00F8545B" w:rsidRDefault="00F8545B" w:rsidP="00F8545B">
            <w:pPr>
              <w:jc w:val="left"/>
              <w:rPr>
                <w:rFonts w:ascii="Calibri" w:hAnsi="Calibri"/>
                <w:color w:val="000000" w:themeColor="text1"/>
                <w:sz w:val="10"/>
                <w:szCs w:val="10"/>
              </w:rPr>
            </w:pPr>
          </w:p>
          <w:p w14:paraId="24FBCD88" w14:textId="77777777" w:rsidR="00F204A7" w:rsidRDefault="007A013B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Alternativ kann als Einstieg das Strukturbild </w:t>
            </w:r>
            <w:r w:rsidR="00F8545B">
              <w:rPr>
                <w:rFonts w:ascii="Calibri" w:hAnsi="Calibri"/>
              </w:rPr>
              <w:t xml:space="preserve">zum Landesparlament </w:t>
            </w:r>
            <w:r>
              <w:rPr>
                <w:rFonts w:ascii="Calibri" w:hAnsi="Calibri"/>
              </w:rPr>
              <w:t xml:space="preserve">aus der Vertiefung 1 (siehe Lösungsvorschlag in den Hinweisen für die Lehrkraft) über </w:t>
            </w:r>
            <w:proofErr w:type="spellStart"/>
            <w:r>
              <w:rPr>
                <w:rFonts w:ascii="Calibri" w:hAnsi="Calibri"/>
              </w:rPr>
              <w:t>Beamer</w:t>
            </w:r>
            <w:proofErr w:type="spellEnd"/>
            <w:r>
              <w:rPr>
                <w:rFonts w:ascii="Calibri" w:hAnsi="Calibri"/>
              </w:rPr>
              <w:t>/Smartboard gezeigt und im Plenum erläutert werden.</w:t>
            </w:r>
          </w:p>
          <w:p w14:paraId="0B71B0BB" w14:textId="751E42F6" w:rsidR="00A1767C" w:rsidRPr="00F8545B" w:rsidRDefault="00A1767C" w:rsidP="00F8545B">
            <w:pPr>
              <w:jc w:val="left"/>
              <w:rPr>
                <w:rFonts w:ascii="Calibri" w:hAnsi="Calibri"/>
              </w:rPr>
            </w:pPr>
          </w:p>
        </w:tc>
      </w:tr>
      <w:tr w:rsidR="00F204A7" w:rsidRPr="00D84E02" w14:paraId="66382B73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3E51E12C" w14:textId="031A9DE4" w:rsidR="00F204A7" w:rsidRPr="007A013B" w:rsidRDefault="00F204A7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 w:rsidRPr="007A013B">
              <w:rPr>
                <w:rFonts w:ascii="Calibri" w:hAnsi="Calibri"/>
                <w:b/>
                <w:sz w:val="22"/>
                <w:szCs w:val="22"/>
              </w:rPr>
              <w:t>Erarbeitung/Sicherung</w:t>
            </w:r>
          </w:p>
        </w:tc>
      </w:tr>
      <w:tr w:rsidR="00F204A7" w:rsidRPr="00D84E02" w14:paraId="3E8F7A76" w14:textId="77777777" w:rsidTr="00F8545B">
        <w:trPr>
          <w:trHeight w:val="7859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AEE59A" w14:textId="77C11B42" w:rsidR="00F204A7" w:rsidRDefault="00FB3370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Mit Hilfe eines Lückentextes erarbeiten sich die Schüler*innen den Gesetzgebungsprozess. Fragen zum Text dienen der Sicherung der Informationen. </w:t>
            </w:r>
          </w:p>
          <w:p w14:paraId="463FBA26" w14:textId="15D5115C" w:rsidR="00FB3370" w:rsidRPr="00BA4C5F" w:rsidRDefault="00FB3370" w:rsidP="00F8545B">
            <w:pPr>
              <w:jc w:val="left"/>
              <w:rPr>
                <w:rFonts w:ascii="Calibri" w:hAnsi="Calibri"/>
                <w:sz w:val="10"/>
                <w:szCs w:val="10"/>
              </w:rPr>
            </w:pPr>
          </w:p>
          <w:p w14:paraId="468F3673" w14:textId="347ECACF" w:rsidR="00204ADD" w:rsidRDefault="00FB3370" w:rsidP="00F8545B">
            <w:pPr>
              <w:jc w:val="left"/>
              <w:rPr>
                <w:rFonts w:ascii="Calibri" w:hAnsi="Calibri"/>
                <w:b/>
                <w:bCs/>
              </w:rPr>
            </w:pPr>
            <w:r w:rsidRPr="00BA4C5F">
              <w:rPr>
                <w:rFonts w:ascii="Calibri" w:hAnsi="Calibri"/>
                <w:b/>
                <w:bCs/>
              </w:rPr>
              <w:t>Lösung</w:t>
            </w:r>
            <w:r w:rsidR="00BA4C5F">
              <w:rPr>
                <w:rFonts w:ascii="Calibri" w:hAnsi="Calibri"/>
                <w:b/>
                <w:bCs/>
              </w:rPr>
              <w:t xml:space="preserve"> Lückentext</w:t>
            </w:r>
            <w:r w:rsidRPr="00BA4C5F">
              <w:rPr>
                <w:rFonts w:ascii="Calibri" w:hAnsi="Calibri"/>
                <w:b/>
                <w:bCs/>
              </w:rPr>
              <w:t>:</w:t>
            </w:r>
          </w:p>
          <w:p w14:paraId="47470496" w14:textId="4F4C2473" w:rsidR="00E65A5B" w:rsidRPr="00BA4C5F" w:rsidRDefault="00E65A5B" w:rsidP="00F8545B">
            <w:pPr>
              <w:jc w:val="left"/>
              <w:rPr>
                <w:rFonts w:ascii="Calibri" w:hAnsi="Calibri"/>
                <w:sz w:val="10"/>
                <w:szCs w:val="10"/>
              </w:rPr>
            </w:pPr>
          </w:p>
          <w:p w14:paraId="782E4FDE" w14:textId="79F28503" w:rsidR="00FB3370" w:rsidRDefault="00A1767C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67E5B827" wp14:editId="6D47C35A">
                  <wp:extent cx="5759450" cy="4194810"/>
                  <wp:effectExtent l="0" t="0" r="635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schirmfoto 2020-11-30 um 13.26.54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4194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E7CC26" w14:textId="76DDFDC7" w:rsidR="007A013B" w:rsidRPr="007A013B" w:rsidRDefault="007A013B" w:rsidP="00F8545B">
            <w:pPr>
              <w:jc w:val="left"/>
              <w:rPr>
                <w:rFonts w:ascii="Calibri" w:hAnsi="Calibri"/>
                <w:b/>
                <w:sz w:val="10"/>
                <w:szCs w:val="10"/>
              </w:rPr>
            </w:pPr>
          </w:p>
        </w:tc>
        <w:bookmarkStart w:id="0" w:name="_GoBack"/>
        <w:bookmarkEnd w:id="0"/>
      </w:tr>
      <w:tr w:rsidR="00F204A7" w:rsidRPr="00D84E02" w14:paraId="10A3925C" w14:textId="77777777" w:rsidTr="00F8545B">
        <w:tc>
          <w:tcPr>
            <w:tcW w:w="9386" w:type="dxa"/>
            <w:tcBorders>
              <w:bottom w:val="single" w:sz="4" w:space="0" w:color="auto"/>
            </w:tcBorders>
            <w:shd w:val="clear" w:color="auto" w:fill="84AFDD"/>
          </w:tcPr>
          <w:p w14:paraId="2159E499" w14:textId="3B850787" w:rsidR="00F204A7" w:rsidRPr="00265CE8" w:rsidRDefault="00F204A7" w:rsidP="00F204A7">
            <w:pPr>
              <w:rPr>
                <w:rFonts w:ascii="Calibri" w:hAnsi="Calibri"/>
                <w:b/>
                <w:sz w:val="22"/>
                <w:szCs w:val="22"/>
              </w:rPr>
            </w:pPr>
            <w:r w:rsidRPr="00265CE8">
              <w:rPr>
                <w:rFonts w:ascii="Calibri" w:hAnsi="Calibri"/>
                <w:b/>
                <w:sz w:val="22"/>
                <w:szCs w:val="22"/>
              </w:rPr>
              <w:t>Hausaufgabe</w:t>
            </w:r>
          </w:p>
        </w:tc>
      </w:tr>
      <w:tr w:rsidR="00F204A7" w:rsidRPr="00D84E02" w14:paraId="225443E7" w14:textId="77777777" w:rsidTr="00F8545B">
        <w:trPr>
          <w:trHeight w:val="1139"/>
        </w:trPr>
        <w:tc>
          <w:tcPr>
            <w:tcW w:w="93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327F8D" w14:textId="7E4D1B26" w:rsidR="00F204A7" w:rsidRPr="007A013B" w:rsidRDefault="00FB3370" w:rsidP="00F8545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Als Zusatzaufgabe/Hausaufgabe kann noch eine Rechercheaufgabe zu den verschiedenen Fachausschüssen des Landesparlaments (dies ist auch eine gute Vorbereitung für die inhaltliche Recherche zu den </w:t>
            </w:r>
            <w:proofErr w:type="spellStart"/>
            <w:r>
              <w:rPr>
                <w:rFonts w:ascii="Calibri" w:hAnsi="Calibri"/>
              </w:rPr>
              <w:t>dialogP</w:t>
            </w:r>
            <w:proofErr w:type="spellEnd"/>
            <w:r>
              <w:rPr>
                <w:rFonts w:ascii="Calibri" w:hAnsi="Calibri"/>
              </w:rPr>
              <w:t xml:space="preserve"> Themenfragen) sowie zu den Regelungen für direkte Demokratie im eigene</w:t>
            </w:r>
            <w:r w:rsidR="007A013B">
              <w:rPr>
                <w:rFonts w:ascii="Calibri" w:hAnsi="Calibri"/>
              </w:rPr>
              <w:t>n</w:t>
            </w:r>
            <w:r>
              <w:rPr>
                <w:rFonts w:ascii="Calibri" w:hAnsi="Calibri"/>
              </w:rPr>
              <w:t xml:space="preserve"> Bundesland vergeben werden. </w:t>
            </w:r>
          </w:p>
        </w:tc>
      </w:tr>
    </w:tbl>
    <w:p w14:paraId="388A3298" w14:textId="045B1199" w:rsidR="00AD3F50" w:rsidRPr="00D23FAC" w:rsidRDefault="00AD3F50" w:rsidP="007A013B">
      <w:pPr>
        <w:rPr>
          <w:rFonts w:ascii="Calibri" w:hAnsi="Calibri"/>
        </w:rPr>
      </w:pPr>
    </w:p>
    <w:sectPr w:rsidR="00AD3F50" w:rsidRPr="00D23FAC" w:rsidSect="002519DF">
      <w:headerReference w:type="default" r:id="rId9"/>
      <w:footerReference w:type="even" r:id="rId10"/>
      <w:footerReference w:type="default" r:id="rId11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BB9F5" w14:textId="77777777" w:rsidR="00FE5881" w:rsidRDefault="00FE5881" w:rsidP="006667BC">
      <w:pPr>
        <w:spacing w:after="0" w:line="240" w:lineRule="auto"/>
      </w:pPr>
      <w:r>
        <w:separator/>
      </w:r>
    </w:p>
    <w:p w14:paraId="4AB9B0F0" w14:textId="77777777" w:rsidR="00FE5881" w:rsidRDefault="00FE5881"/>
  </w:endnote>
  <w:endnote w:type="continuationSeparator" w:id="0">
    <w:p w14:paraId="4E2BF3F9" w14:textId="77777777" w:rsidR="00FE5881" w:rsidRDefault="00FE5881" w:rsidP="006667BC">
      <w:pPr>
        <w:spacing w:after="0" w:line="240" w:lineRule="auto"/>
      </w:pPr>
      <w:r>
        <w:continuationSeparator/>
      </w:r>
    </w:p>
    <w:p w14:paraId="073B7040" w14:textId="77777777" w:rsidR="00FE5881" w:rsidRDefault="00FE58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26053684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8151AC3" w14:textId="02B516E8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91E3CF4" w14:textId="77777777" w:rsidR="00E65A5B" w:rsidRDefault="00E65A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213061664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1C6A962" w14:textId="6900FEB2" w:rsidR="00E65A5B" w:rsidRDefault="00E65A5B" w:rsidP="00947D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23850968" w14:textId="77777777" w:rsidR="00E65A5B" w:rsidRDefault="00E65A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B2536" w14:textId="77777777" w:rsidR="00FE5881" w:rsidRDefault="00FE5881" w:rsidP="006667BC">
      <w:pPr>
        <w:spacing w:after="0" w:line="240" w:lineRule="auto"/>
      </w:pPr>
      <w:r>
        <w:separator/>
      </w:r>
    </w:p>
    <w:p w14:paraId="113F411E" w14:textId="77777777" w:rsidR="00FE5881" w:rsidRDefault="00FE5881"/>
  </w:footnote>
  <w:footnote w:type="continuationSeparator" w:id="0">
    <w:p w14:paraId="3A2E2A65" w14:textId="77777777" w:rsidR="00FE5881" w:rsidRDefault="00FE5881" w:rsidP="006667BC">
      <w:pPr>
        <w:spacing w:after="0" w:line="240" w:lineRule="auto"/>
      </w:pPr>
      <w:r>
        <w:continuationSeparator/>
      </w:r>
    </w:p>
    <w:p w14:paraId="181D25A8" w14:textId="77777777" w:rsidR="00FE5881" w:rsidRDefault="00FE58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C3EA8" w14:textId="77777777" w:rsidR="00E65A5B" w:rsidRDefault="00E65A5B" w:rsidP="00E65A5B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35A6879A" wp14:editId="50ACEAEC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w16cex="http://schemas.microsoft.com/office/word/2018/wordml/cex" xmlns:w16="http://schemas.microsoft.com/office/word/2018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0E9C6610" w14:textId="74521605" w:rsidR="00E65A5B" w:rsidRDefault="00E65A5B" w:rsidP="00E65A5B">
    <w:pPr>
      <w:spacing w:after="0"/>
      <w:ind w:left="-425"/>
      <w:rPr>
        <w:rFonts w:ascii="Calibri" w:hAnsi="Calibri"/>
        <w:b/>
      </w:rPr>
    </w:pPr>
    <w:r>
      <w:rPr>
        <w:rFonts w:ascii="Calibri" w:hAnsi="Calibri"/>
        <w:b/>
      </w:rPr>
      <w:t xml:space="preserve">Vertiefung </w:t>
    </w:r>
    <w:r w:rsidR="00FB3370">
      <w:rPr>
        <w:rFonts w:ascii="Calibri" w:hAnsi="Calibri"/>
        <w:b/>
      </w:rPr>
      <w:t>2</w:t>
    </w:r>
    <w:r>
      <w:rPr>
        <w:rFonts w:ascii="Calibri" w:hAnsi="Calibri"/>
        <w:b/>
      </w:rPr>
      <w:t xml:space="preserve">: </w:t>
    </w:r>
    <w:r w:rsidR="00FB3370">
      <w:rPr>
        <w:rFonts w:ascii="Calibri" w:hAnsi="Calibri"/>
        <w:b/>
      </w:rPr>
      <w:t>Wie entsteht ein Gesetz?</w:t>
    </w:r>
    <w:r>
      <w:rPr>
        <w:rFonts w:ascii="Calibri" w:hAnsi="Calibri"/>
        <w:b/>
      </w:rPr>
      <w:t xml:space="preserve"> </w:t>
    </w:r>
  </w:p>
  <w:p w14:paraId="21041BAD" w14:textId="0F9A1177" w:rsidR="00E65A5B" w:rsidRPr="0016327D" w:rsidRDefault="00E65A5B" w:rsidP="00E65A5B">
    <w:pPr>
      <w:ind w:left="-426"/>
      <w:rPr>
        <w:rFonts w:ascii="Calibri" w:hAnsi="Calibri"/>
        <w:b/>
      </w:rPr>
    </w:pPr>
    <w:r>
      <w:rPr>
        <w:rFonts w:ascii="Calibri" w:hAnsi="Calibri"/>
        <w:b/>
      </w:rPr>
      <w:t>HINWEISE FÜR DIE LEHRKRAFT</w:t>
    </w:r>
  </w:p>
  <w:p w14:paraId="3AF0E211" w14:textId="77777777" w:rsidR="002519DF" w:rsidRDefault="002519D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>
    <w:abstractNumId w:val="24"/>
  </w:num>
  <w:num w:numId="2">
    <w:abstractNumId w:val="24"/>
  </w:num>
  <w:num w:numId="3">
    <w:abstractNumId w:val="42"/>
  </w:num>
  <w:num w:numId="4">
    <w:abstractNumId w:val="19"/>
  </w:num>
  <w:num w:numId="5">
    <w:abstractNumId w:val="34"/>
  </w:num>
  <w:num w:numId="6">
    <w:abstractNumId w:val="51"/>
  </w:num>
  <w:num w:numId="7">
    <w:abstractNumId w:val="45"/>
  </w:num>
  <w:num w:numId="8">
    <w:abstractNumId w:val="2"/>
  </w:num>
  <w:num w:numId="9">
    <w:abstractNumId w:val="32"/>
  </w:num>
  <w:num w:numId="10">
    <w:abstractNumId w:val="35"/>
  </w:num>
  <w:num w:numId="11">
    <w:abstractNumId w:val="38"/>
  </w:num>
  <w:num w:numId="12">
    <w:abstractNumId w:val="40"/>
  </w:num>
  <w:num w:numId="13">
    <w:abstractNumId w:val="39"/>
  </w:num>
  <w:num w:numId="14">
    <w:abstractNumId w:val="31"/>
  </w:num>
  <w:num w:numId="15">
    <w:abstractNumId w:val="44"/>
  </w:num>
  <w:num w:numId="16">
    <w:abstractNumId w:val="1"/>
  </w:num>
  <w:num w:numId="17">
    <w:abstractNumId w:val="48"/>
  </w:num>
  <w:num w:numId="18">
    <w:abstractNumId w:val="46"/>
  </w:num>
  <w:num w:numId="19">
    <w:abstractNumId w:val="43"/>
  </w:num>
  <w:num w:numId="20">
    <w:abstractNumId w:val="20"/>
  </w:num>
  <w:num w:numId="21">
    <w:abstractNumId w:val="52"/>
  </w:num>
  <w:num w:numId="22">
    <w:abstractNumId w:val="29"/>
  </w:num>
  <w:num w:numId="23">
    <w:abstractNumId w:val="22"/>
  </w:num>
  <w:num w:numId="24">
    <w:abstractNumId w:val="50"/>
  </w:num>
  <w:num w:numId="25">
    <w:abstractNumId w:val="26"/>
  </w:num>
  <w:num w:numId="26">
    <w:abstractNumId w:val="41"/>
  </w:num>
  <w:num w:numId="27">
    <w:abstractNumId w:val="4"/>
  </w:num>
  <w:num w:numId="28">
    <w:abstractNumId w:val="10"/>
  </w:num>
  <w:num w:numId="29">
    <w:abstractNumId w:val="27"/>
  </w:num>
  <w:num w:numId="30">
    <w:abstractNumId w:val="30"/>
  </w:num>
  <w:num w:numId="31">
    <w:abstractNumId w:val="11"/>
  </w:num>
  <w:num w:numId="32">
    <w:abstractNumId w:val="8"/>
  </w:num>
  <w:num w:numId="33">
    <w:abstractNumId w:val="17"/>
  </w:num>
  <w:num w:numId="34">
    <w:abstractNumId w:val="15"/>
  </w:num>
  <w:num w:numId="35">
    <w:abstractNumId w:val="7"/>
  </w:num>
  <w:num w:numId="36">
    <w:abstractNumId w:val="3"/>
  </w:num>
  <w:num w:numId="37">
    <w:abstractNumId w:val="18"/>
  </w:num>
  <w:num w:numId="38">
    <w:abstractNumId w:val="49"/>
  </w:num>
  <w:num w:numId="39">
    <w:abstractNumId w:val="23"/>
  </w:num>
  <w:num w:numId="40">
    <w:abstractNumId w:val="25"/>
  </w:num>
  <w:num w:numId="41">
    <w:abstractNumId w:val="0"/>
  </w:num>
  <w:num w:numId="42">
    <w:abstractNumId w:val="28"/>
  </w:num>
  <w:num w:numId="43">
    <w:abstractNumId w:val="13"/>
  </w:num>
  <w:num w:numId="44">
    <w:abstractNumId w:val="9"/>
  </w:num>
  <w:num w:numId="45">
    <w:abstractNumId w:val="12"/>
  </w:num>
  <w:num w:numId="46">
    <w:abstractNumId w:val="47"/>
  </w:num>
  <w:num w:numId="47">
    <w:abstractNumId w:val="5"/>
  </w:num>
  <w:num w:numId="48">
    <w:abstractNumId w:val="33"/>
  </w:num>
  <w:num w:numId="49">
    <w:abstractNumId w:val="6"/>
  </w:num>
  <w:num w:numId="50">
    <w:abstractNumId w:val="37"/>
  </w:num>
  <w:num w:numId="51">
    <w:abstractNumId w:val="36"/>
  </w:num>
  <w:num w:numId="52">
    <w:abstractNumId w:val="21"/>
  </w:num>
  <w:num w:numId="53">
    <w:abstractNumId w:val="16"/>
  </w:num>
  <w:num w:numId="54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63A2"/>
    <w:rsid w:val="001174EF"/>
    <w:rsid w:val="00127CBC"/>
    <w:rsid w:val="00134DC3"/>
    <w:rsid w:val="00135CAA"/>
    <w:rsid w:val="00137233"/>
    <w:rsid w:val="001406F5"/>
    <w:rsid w:val="00156557"/>
    <w:rsid w:val="00167870"/>
    <w:rsid w:val="00177FDA"/>
    <w:rsid w:val="00184DB9"/>
    <w:rsid w:val="00184F2E"/>
    <w:rsid w:val="001A4210"/>
    <w:rsid w:val="001A76DC"/>
    <w:rsid w:val="001A7F70"/>
    <w:rsid w:val="001B7D2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519DF"/>
    <w:rsid w:val="00265CE8"/>
    <w:rsid w:val="002678C1"/>
    <w:rsid w:val="00283F52"/>
    <w:rsid w:val="002A15F7"/>
    <w:rsid w:val="002A74EE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56FBF"/>
    <w:rsid w:val="0036432C"/>
    <w:rsid w:val="00364368"/>
    <w:rsid w:val="0037078E"/>
    <w:rsid w:val="00381AAB"/>
    <w:rsid w:val="003831EA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37432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4574D"/>
    <w:rsid w:val="006503E4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39E1"/>
    <w:rsid w:val="00755393"/>
    <w:rsid w:val="007667FC"/>
    <w:rsid w:val="0077021A"/>
    <w:rsid w:val="00775BED"/>
    <w:rsid w:val="00785113"/>
    <w:rsid w:val="00786AFF"/>
    <w:rsid w:val="00790B51"/>
    <w:rsid w:val="00792C91"/>
    <w:rsid w:val="00792DEA"/>
    <w:rsid w:val="007A013B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1249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E294D"/>
    <w:rsid w:val="009E33E5"/>
    <w:rsid w:val="009E7440"/>
    <w:rsid w:val="009F01B7"/>
    <w:rsid w:val="009F47B3"/>
    <w:rsid w:val="009F7630"/>
    <w:rsid w:val="00A11238"/>
    <w:rsid w:val="00A1767C"/>
    <w:rsid w:val="00A300D1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212A3"/>
    <w:rsid w:val="00B324CA"/>
    <w:rsid w:val="00B34F75"/>
    <w:rsid w:val="00B3790E"/>
    <w:rsid w:val="00B50851"/>
    <w:rsid w:val="00B55737"/>
    <w:rsid w:val="00B621C7"/>
    <w:rsid w:val="00B62880"/>
    <w:rsid w:val="00B66071"/>
    <w:rsid w:val="00B75958"/>
    <w:rsid w:val="00B8497B"/>
    <w:rsid w:val="00BA2094"/>
    <w:rsid w:val="00BA28F5"/>
    <w:rsid w:val="00BA4C5F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57B73"/>
    <w:rsid w:val="00C61B8C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3FAC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65A5B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B27FA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141E"/>
    <w:rsid w:val="00F37B9D"/>
    <w:rsid w:val="00F72063"/>
    <w:rsid w:val="00F8545B"/>
    <w:rsid w:val="00F85579"/>
    <w:rsid w:val="00F8597C"/>
    <w:rsid w:val="00F86B5E"/>
    <w:rsid w:val="00F9119E"/>
    <w:rsid w:val="00F948A2"/>
    <w:rsid w:val="00FA0704"/>
    <w:rsid w:val="00FA7D12"/>
    <w:rsid w:val="00FB3370"/>
    <w:rsid w:val="00FB393E"/>
    <w:rsid w:val="00FB5C11"/>
    <w:rsid w:val="00FC5B03"/>
    <w:rsid w:val="00FD1049"/>
    <w:rsid w:val="00FD6B5D"/>
    <w:rsid w:val="00FD6DD8"/>
    <w:rsid w:val="00FD7059"/>
    <w:rsid w:val="00FE5881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Seitenzahl">
    <w:name w:val="page number"/>
    <w:basedOn w:val="Absatz-Standardschriftart"/>
    <w:uiPriority w:val="99"/>
    <w:semiHidden/>
    <w:unhideWhenUsed/>
    <w:rsid w:val="00E65A5B"/>
  </w:style>
  <w:style w:type="character" w:styleId="NichtaufgelsteErwhnung">
    <w:name w:val="Unresolved Mention"/>
    <w:basedOn w:val="Absatz-Standardschriftart"/>
    <w:uiPriority w:val="99"/>
    <w:semiHidden/>
    <w:unhideWhenUsed/>
    <w:rsid w:val="004374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898B726-728A-484E-89DA-BFFCFA90E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Microsoft Office User</cp:lastModifiedBy>
  <cp:revision>9</cp:revision>
  <dcterms:created xsi:type="dcterms:W3CDTF">2020-09-21T11:57:00Z</dcterms:created>
  <dcterms:modified xsi:type="dcterms:W3CDTF">2020-11-30T12:27:00Z</dcterms:modified>
</cp:coreProperties>
</file>