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A9CF5" w14:textId="77777777" w:rsidR="007956EB" w:rsidRDefault="007956EB" w:rsidP="007956EB">
      <w:pPr>
        <w:jc w:val="center"/>
        <w:rPr>
          <w:rFonts w:ascii="Calibri" w:hAnsi="Calibri"/>
          <w:b/>
        </w:rPr>
      </w:pPr>
    </w:p>
    <w:p w14:paraId="22B47A10" w14:textId="0A0CAA35" w:rsidR="007956EB" w:rsidRPr="007956EB" w:rsidRDefault="007956EB" w:rsidP="007956EB">
      <w:pPr>
        <w:jc w:val="center"/>
        <w:rPr>
          <w:rFonts w:ascii="Calibri" w:hAnsi="Calibri"/>
          <w:sz w:val="28"/>
          <w:szCs w:val="28"/>
        </w:rPr>
      </w:pPr>
      <w:r w:rsidRPr="007956EB">
        <w:rPr>
          <w:rFonts w:ascii="Calibri" w:hAnsi="Calibri"/>
          <w:b/>
          <w:sz w:val="28"/>
          <w:szCs w:val="28"/>
        </w:rPr>
        <w:t>Grundrechte und ihre Grenzen am Beispiel der Meinungsfreiheit</w:t>
      </w:r>
    </w:p>
    <w:p w14:paraId="0A51A40C" w14:textId="28E814F0" w:rsidR="007956EB" w:rsidRPr="002B4A91" w:rsidRDefault="007956EB" w:rsidP="007130BC">
      <w:pPr>
        <w:rPr>
          <w:b/>
          <w:sz w:val="10"/>
          <w:szCs w:val="10"/>
        </w:rPr>
      </w:pPr>
    </w:p>
    <w:p w14:paraId="679E5E76" w14:textId="6A77F4F4" w:rsidR="002B4A91" w:rsidRDefault="002B4A91" w:rsidP="002B4A91">
      <w:pPr>
        <w:spacing w:after="120"/>
        <w:rPr>
          <w:rFonts w:ascii="Calibri" w:hAnsi="Calibri"/>
          <w:b/>
        </w:rPr>
      </w:pPr>
      <w:r>
        <w:rPr>
          <w:rFonts w:ascii="Calibri" w:hAnsi="Calibri"/>
          <w:b/>
          <w:noProof/>
        </w:rPr>
        <mc:AlternateContent>
          <mc:Choice Requires="wps">
            <w:drawing>
              <wp:anchor distT="0" distB="0" distL="114300" distR="114300" simplePos="0" relativeHeight="251684864" behindDoc="1" locked="0" layoutInCell="1" allowOverlap="1" wp14:anchorId="00683042" wp14:editId="1E9A128B">
                <wp:simplePos x="0" y="0"/>
                <wp:positionH relativeFrom="column">
                  <wp:posOffset>-33655</wp:posOffset>
                </wp:positionH>
                <wp:positionV relativeFrom="paragraph">
                  <wp:posOffset>178651</wp:posOffset>
                </wp:positionV>
                <wp:extent cx="5956300" cy="2235200"/>
                <wp:effectExtent l="63500" t="63500" r="63500" b="25400"/>
                <wp:wrapNone/>
                <wp:docPr id="1" name="Textfeld 1"/>
                <wp:cNvGraphicFramePr/>
                <a:graphic xmlns:a="http://schemas.openxmlformats.org/drawingml/2006/main">
                  <a:graphicData uri="http://schemas.microsoft.com/office/word/2010/wordprocessingShape">
                    <wps:wsp>
                      <wps:cNvSpPr txBox="1"/>
                      <wps:spPr>
                        <a:xfrm>
                          <a:off x="0" y="0"/>
                          <a:ext cx="5956300" cy="2235200"/>
                        </a:xfrm>
                        <a:custGeom>
                          <a:avLst/>
                          <a:gdLst>
                            <a:gd name="connsiteX0" fmla="*/ 0 w 5956300"/>
                            <a:gd name="connsiteY0" fmla="*/ 0 h 2235200"/>
                            <a:gd name="connsiteX1" fmla="*/ 5956300 w 5956300"/>
                            <a:gd name="connsiteY1" fmla="*/ 0 h 2235200"/>
                            <a:gd name="connsiteX2" fmla="*/ 5956300 w 5956300"/>
                            <a:gd name="connsiteY2" fmla="*/ 2235200 h 2235200"/>
                            <a:gd name="connsiteX3" fmla="*/ 0 w 5956300"/>
                            <a:gd name="connsiteY3" fmla="*/ 2235200 h 2235200"/>
                            <a:gd name="connsiteX4" fmla="*/ 0 w 5956300"/>
                            <a:gd name="connsiteY4" fmla="*/ 0 h 2235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956300" h="2235200" fill="none" extrusionOk="0">
                              <a:moveTo>
                                <a:pt x="0" y="0"/>
                              </a:moveTo>
                              <a:cubicBezTo>
                                <a:pt x="735150" y="106216"/>
                                <a:pt x="3467534" y="-142119"/>
                                <a:pt x="5956300" y="0"/>
                              </a:cubicBezTo>
                              <a:cubicBezTo>
                                <a:pt x="5955789" y="619806"/>
                                <a:pt x="5955530" y="1276670"/>
                                <a:pt x="5956300" y="2235200"/>
                              </a:cubicBezTo>
                              <a:cubicBezTo>
                                <a:pt x="4033250" y="2205972"/>
                                <a:pt x="1617939" y="2219506"/>
                                <a:pt x="0" y="2235200"/>
                              </a:cubicBezTo>
                              <a:cubicBezTo>
                                <a:pt x="-56229" y="1931382"/>
                                <a:pt x="-65128" y="809244"/>
                                <a:pt x="0" y="0"/>
                              </a:cubicBezTo>
                              <a:close/>
                            </a:path>
                            <a:path w="5956300" h="2235200" stroke="0" extrusionOk="0">
                              <a:moveTo>
                                <a:pt x="0" y="0"/>
                              </a:moveTo>
                              <a:cubicBezTo>
                                <a:pt x="2351655" y="-71603"/>
                                <a:pt x="4122351" y="126493"/>
                                <a:pt x="5956300" y="0"/>
                              </a:cubicBezTo>
                              <a:cubicBezTo>
                                <a:pt x="5867110" y="1097655"/>
                                <a:pt x="6112084" y="1743555"/>
                                <a:pt x="5956300" y="2235200"/>
                              </a:cubicBezTo>
                              <a:cubicBezTo>
                                <a:pt x="3042782" y="2280044"/>
                                <a:pt x="2216930" y="2078313"/>
                                <a:pt x="0" y="2235200"/>
                              </a:cubicBezTo>
                              <a:cubicBezTo>
                                <a:pt x="-31925" y="1736399"/>
                                <a:pt x="67210" y="842763"/>
                                <a:pt x="0" y="0"/>
                              </a:cubicBezTo>
                              <a:close/>
                            </a:path>
                          </a:pathLst>
                        </a:custGeom>
                        <a:ln w="38100">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57A4D9B6" w14:textId="77777777" w:rsidR="007956EB" w:rsidRDefault="0079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683042" id="Textfeld 1" o:spid="_x0000_s1026" style="position:absolute;margin-left:-2.65pt;margin-top:14.05pt;width:469pt;height:17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956300,2235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j5mmQQAAEkNAAAOAAAAZHJzL2Uyb0RvYy54bWysV9tu4zYQfS/QfyD0WCCxSN2NOItsghQF&#10;gs2iSbHtI01TsRCJVEk6dvbrO6QuprJOnQT7IpMazpy5HI7GZ592TY2euNKVFIsAn4YB4oLJVSUe&#10;FsFf99cneYC0oWJFayn4InjmOvh0/usvZ9t2zolcy3rFFQIjQs+37SJYG9POZzPN1ryh+lS2XICw&#10;lKqhBrbqYbZSdAvWm3pGwjCdbaVatUoyrjW8veqEwbmzX5acmduy1NygehGAb8Y9lXsu7XN2fkbn&#10;D4q264r1btAPeNHQSgDoaOqKGoo2qvrBVFMxJbUszSmTzUyWZcW4iwGiweGLaO7WtOUuFkiObsc0&#10;6Z9nln15umu/KmR2n+UOCmgTsm31XMNLG8+uVI39BU8RyCGFz2Pa+M4gBi+TIkmjEEQMZIRECRTG&#10;2pnt1dlGm9+5dKbo0402Xd5XsHJZWyFBG6AHk0LoyvC/wVrZ1FCK32YoRFs0YPR6L47/Mz2+Rp4X&#10;UJMfrGPPem/5OIavFKKjGOQjGL5SH8NxpMhDekOu/ONvxojfhzE9PskVsOJhqDtdD1RgO9FzAVaI&#10;2u4RugvVSm2J5xMDWDZsofAd0UDLEumIMpTQV3ZsB3/epgy18ZXJu5Ah6b5y9C5lyKavHPvKnft9&#10;7hT0O9vpatfpTICg06kAQadbWh06b6mxKR+WaOvd3vX+8qKyqsGMgJYN/Xxn1Mb299vHoSiNfOL3&#10;0lkxL9oC+LOXss2yYp/5d/9sFiU46foIDlOC094zZyiK0yyJunhPcEwwLnzx0AVsOsbKTzAOIYJW&#10;kuWFS2KKizycQFppEvUOkSxNs/6r0DqPfEivq9i0HwWOwygifayEhEmROdJAGZxpnOKsiDq/CMFF&#10;MnWsc+m9mCdJSkhnExcRjvIJ5EmaYAKfZMhfHhYkdlQa/OkAX8lrLTXvrprl0FECaaPkIzR0sPmT&#10;+QPfF5wmiYvhJMNp6O7SEEOMbcK6e45JGhcTqV/MV+KcFLWnQJ5mGPcMCYvMone3yZUxxZiEecdZ&#10;nMUR0MkX+5jvLWYUxiSDCtp6EZKH4bRgQJq06KlLwiyHcvvIHyRQhAvSpRdnURoVkxuYZqTPRA6u&#10;pQfwXsnrS/7ABRqbkbtM+wGhFrYvRTmGMcISTcu6Wl1DR3Ib9bC8rBV6otCg8vji+urKxgwmvGOw&#10;q+F7MNtPMm5lnmtubdTiT16iagXfFdIh2HGTj2YpY1yY4evgTls12xRHRXxIsR6V+rNWjbsxdFTs&#10;Y/o/xFHDoUphRuWmElIdQl49Du6W3fkh+i5mG77ZLXeQKbtcytUzDH1KdvOwbtl1pbS5odp8pQqm&#10;LqAODPXmFh5lLaEa0PDdKkBrqb4fem/Pw1wK0gBtYaBeBPrfDVXwAan/EDCxFjiOwaxxmzjJCGyU&#10;L1n6ErFpLiVUGG4yeOeW9ryph2WpZPMNZv8LiwoiKhhgLwL46HXLSwM7EMB/B8YvLtwaZm4g3Y24&#10;a5k1bdPbQtz3u29UtcguwQD0qy9yGL3pfBhXLWHHs1ZTyIuNkWVlZ1nHtC6r/QbmdVhN/hD4e3dq&#10;/w/o/D8AAAD//wMAUEsDBBQABgAIAAAAIQBnD3eQ4AAAAAkBAAAPAAAAZHJzL2Rvd25yZXYueG1s&#10;TI/LTsMwEEX3SPyDNUhsUOs81BJCnCogVeyQKLB3k2mSEo+t2G1Svp5hBcvRvTr3TLGZzSDOOPre&#10;koJ4GYFAqm3TU6vg4327yED4oKnRgyVUcEEPm/L6qtB5Yyd6w/MutIIh5HOtoAvB5VL6ukOj/dI6&#10;JM4OdjQ68Dm2shn1xHAzyCSK1tLonnih0w6fO6y/diejIFndfb8cp0P6VFWX+NV9uu366JS6vZmr&#10;RxAB5/BXhl99VoeSnfb2RI0Xg4LFKuUms7IYBOcPaXIPYq8gzaIYZFnI/x+UPwAAAP//AwBQSwEC&#10;LQAUAAYACAAAACEAtoM4kv4AAADhAQAAEwAAAAAAAAAAAAAAAAAAAAAAW0NvbnRlbnRfVHlwZXNd&#10;LnhtbFBLAQItABQABgAIAAAAIQA4/SH/1gAAAJQBAAALAAAAAAAAAAAAAAAAAC8BAABfcmVscy8u&#10;cmVsc1BLAQItABQABgAIAAAAIQDgsj5mmQQAAEkNAAAOAAAAAAAAAAAAAAAAAC4CAABkcnMvZTJv&#10;RG9jLnhtbFBLAQItABQABgAIAAAAIQBnD3eQ4AAAAAkBAAAPAAAAAAAAAAAAAAAAAPMGAABkcnMv&#10;ZG93bnJldi54bWxQSwUGAAAAAAQABADzAAAAAAgAAAAA&#10;" adj="-11796480,,5400" path="m,nfc735150,106216,3467534,-142119,5956300,v-511,619806,-770,1276670,,2235200c4033250,2205972,1617939,2219506,,2235200,-56229,1931382,-65128,809244,,xem,nsc2351655,-71603,4122351,126493,5956300,v-89190,1097655,155784,1743555,,2235200c3042782,2280044,2216930,2078313,,2235200,-31925,1736399,67210,842763,,xe" fillcolor="white [3201]" strokecolor="#84afdd" strokeweight="3pt">
                <v:stroke joinstyle="miter" endcap="round"/>
                <v:formulas/>
                <v:path arrowok="t" o:extrusionok="f" o:connecttype="custom" o:connectlocs="0,0;5956300,0;5956300,2235200;0,2235200;0,0" o:connectangles="0,0,0,0,0" textboxrect="0,0,5956300,2235200"/>
                <v:textbox>
                  <w:txbxContent>
                    <w:p w14:paraId="57A4D9B6" w14:textId="77777777" w:rsidR="007956EB" w:rsidRDefault="007956EB"/>
                  </w:txbxContent>
                </v:textbox>
              </v:shape>
            </w:pict>
          </mc:Fallback>
        </mc:AlternateContent>
      </w:r>
    </w:p>
    <w:p w14:paraId="089B398D" w14:textId="77ED59E3" w:rsidR="007130BC" w:rsidRPr="002B4A91" w:rsidRDefault="007130BC" w:rsidP="002B4A91">
      <w:pPr>
        <w:spacing w:after="120"/>
        <w:rPr>
          <w:rFonts w:ascii="Calibri" w:hAnsi="Calibri"/>
          <w:b/>
        </w:rPr>
      </w:pPr>
      <w:r w:rsidRPr="002B4A91">
        <w:rPr>
          <w:rFonts w:ascii="Calibri" w:hAnsi="Calibri"/>
          <w:b/>
        </w:rPr>
        <w:t>Arbeitshinweise</w:t>
      </w:r>
    </w:p>
    <w:p w14:paraId="45FB79F7" w14:textId="6B770FD1" w:rsidR="007130BC" w:rsidRPr="002B4A91" w:rsidRDefault="007130BC" w:rsidP="007130BC">
      <w:pPr>
        <w:pStyle w:val="Listenabsatz"/>
        <w:numPr>
          <w:ilvl w:val="0"/>
          <w:numId w:val="15"/>
        </w:numPr>
        <w:autoSpaceDE w:val="0"/>
        <w:autoSpaceDN w:val="0"/>
        <w:adjustRightInd w:val="0"/>
        <w:spacing w:after="0" w:line="240" w:lineRule="auto"/>
        <w:rPr>
          <w:rFonts w:ascii="Calibri" w:hAnsi="Calibri" w:cs="Times New Roman"/>
          <w:color w:val="000000" w:themeColor="text1"/>
          <w:sz w:val="22"/>
          <w:szCs w:val="22"/>
        </w:rPr>
      </w:pPr>
      <w:r w:rsidRPr="002B4A91">
        <w:rPr>
          <w:rFonts w:ascii="Calibri" w:hAnsi="Calibri" w:cs="Times New Roman"/>
          <w:color w:val="000000" w:themeColor="text1"/>
          <w:sz w:val="22"/>
          <w:szCs w:val="22"/>
        </w:rPr>
        <w:t xml:space="preserve">Stelle den </w:t>
      </w:r>
      <w:r w:rsidRPr="002B4A91">
        <w:rPr>
          <w:rFonts w:ascii="Calibri" w:hAnsi="Calibri" w:cs="Times New Roman"/>
          <w:b/>
          <w:bCs/>
          <w:color w:val="000000" w:themeColor="text1"/>
          <w:sz w:val="22"/>
          <w:szCs w:val="22"/>
        </w:rPr>
        <w:t>rechtlichen Rahmen der Meinungsfreiheit</w:t>
      </w:r>
      <w:r w:rsidRPr="002B4A91">
        <w:rPr>
          <w:rFonts w:ascii="Calibri" w:hAnsi="Calibri" w:cs="Times New Roman"/>
          <w:color w:val="000000" w:themeColor="text1"/>
          <w:sz w:val="22"/>
          <w:szCs w:val="22"/>
        </w:rPr>
        <w:t xml:space="preserve"> mithilfe des </w:t>
      </w:r>
      <w:r w:rsidRPr="002B4A91">
        <w:rPr>
          <w:rFonts w:ascii="Calibri" w:hAnsi="Calibri" w:cs="Times New Roman"/>
          <w:b/>
          <w:color w:val="000000" w:themeColor="text1"/>
          <w:sz w:val="22"/>
          <w:szCs w:val="22"/>
        </w:rPr>
        <w:t>Textes M</w:t>
      </w:r>
      <w:r w:rsidR="007956EB" w:rsidRPr="002B4A91">
        <w:rPr>
          <w:rFonts w:ascii="Calibri" w:hAnsi="Calibri" w:cs="Times New Roman"/>
          <w:b/>
          <w:color w:val="000000" w:themeColor="text1"/>
          <w:sz w:val="22"/>
          <w:szCs w:val="22"/>
        </w:rPr>
        <w:t>1</w:t>
      </w:r>
      <w:r w:rsidRPr="002B4A91">
        <w:rPr>
          <w:rFonts w:ascii="Calibri" w:hAnsi="Calibri" w:cs="Times New Roman"/>
          <w:b/>
          <w:color w:val="000000" w:themeColor="text1"/>
          <w:sz w:val="22"/>
          <w:szCs w:val="22"/>
        </w:rPr>
        <w:t xml:space="preserve"> </w:t>
      </w:r>
      <w:r w:rsidRPr="002B4A91">
        <w:rPr>
          <w:rFonts w:ascii="Calibri" w:hAnsi="Calibri" w:cs="Times New Roman"/>
          <w:color w:val="000000" w:themeColor="text1"/>
          <w:sz w:val="22"/>
          <w:szCs w:val="22"/>
        </w:rPr>
        <w:t>dar:</w:t>
      </w:r>
      <w:r w:rsidRPr="002B4A91">
        <w:rPr>
          <w:rFonts w:ascii="Calibri" w:hAnsi="Calibri" w:cs="Times New Roman"/>
          <w:color w:val="000000" w:themeColor="text1"/>
          <w:sz w:val="22"/>
          <w:szCs w:val="22"/>
        </w:rPr>
        <w:br/>
        <w:t xml:space="preserve">Wie wird sie </w:t>
      </w:r>
      <w:r w:rsidRPr="002B4A91">
        <w:rPr>
          <w:rFonts w:ascii="Calibri" w:hAnsi="Calibri" w:cs="Times New Roman"/>
          <w:b/>
          <w:bCs/>
          <w:color w:val="000000" w:themeColor="text1"/>
          <w:sz w:val="22"/>
          <w:szCs w:val="22"/>
        </w:rPr>
        <w:t>geschützt</w:t>
      </w:r>
      <w:r w:rsidRPr="002B4A91">
        <w:rPr>
          <w:rFonts w:ascii="Calibri" w:hAnsi="Calibri" w:cs="Times New Roman"/>
          <w:color w:val="000000" w:themeColor="text1"/>
          <w:sz w:val="22"/>
          <w:szCs w:val="22"/>
        </w:rPr>
        <w:t xml:space="preserve"> und wie wird sie </w:t>
      </w:r>
      <w:r w:rsidRPr="002B4A91">
        <w:rPr>
          <w:rFonts w:ascii="Calibri" w:hAnsi="Calibri" w:cs="Times New Roman"/>
          <w:b/>
          <w:bCs/>
          <w:color w:val="000000" w:themeColor="text1"/>
          <w:sz w:val="22"/>
          <w:szCs w:val="22"/>
        </w:rPr>
        <w:t>begrenzt</w:t>
      </w:r>
      <w:r w:rsidRPr="002B4A91">
        <w:rPr>
          <w:rFonts w:ascii="Calibri" w:hAnsi="Calibri" w:cs="Times New Roman"/>
          <w:color w:val="000000" w:themeColor="text1"/>
          <w:sz w:val="22"/>
          <w:szCs w:val="22"/>
        </w:rPr>
        <w:t xml:space="preserve">? Berücksichtige auch die „Waffe“, die das Bundesverfassungsgericht nennt. </w:t>
      </w:r>
    </w:p>
    <w:p w14:paraId="5B82C4DB" w14:textId="4BC7B28D" w:rsidR="007130BC" w:rsidRPr="002B4A91" w:rsidRDefault="007130BC" w:rsidP="007130BC">
      <w:pPr>
        <w:pStyle w:val="Listenabsatz"/>
        <w:numPr>
          <w:ilvl w:val="0"/>
          <w:numId w:val="15"/>
        </w:numPr>
        <w:autoSpaceDE w:val="0"/>
        <w:autoSpaceDN w:val="0"/>
        <w:adjustRightInd w:val="0"/>
        <w:spacing w:after="0" w:line="240" w:lineRule="auto"/>
        <w:jc w:val="left"/>
        <w:rPr>
          <w:rFonts w:ascii="Calibri" w:hAnsi="Calibri" w:cs="Times New Roman"/>
          <w:color w:val="000000" w:themeColor="text1"/>
          <w:sz w:val="22"/>
          <w:szCs w:val="22"/>
        </w:rPr>
      </w:pPr>
      <w:proofErr w:type="spellStart"/>
      <w:r w:rsidRPr="002B4A91">
        <w:rPr>
          <w:rFonts w:ascii="Calibri" w:hAnsi="Calibri" w:cs="Times New Roman"/>
          <w:b/>
          <w:bCs/>
          <w:color w:val="000000" w:themeColor="text1"/>
          <w:sz w:val="22"/>
          <w:szCs w:val="22"/>
        </w:rPr>
        <w:t>Lies</w:t>
      </w:r>
      <w:proofErr w:type="spellEnd"/>
      <w:r w:rsidRPr="002B4A91">
        <w:rPr>
          <w:rFonts w:ascii="Calibri" w:hAnsi="Calibri" w:cs="Times New Roman"/>
          <w:color w:val="000000" w:themeColor="text1"/>
          <w:sz w:val="22"/>
          <w:szCs w:val="22"/>
        </w:rPr>
        <w:t xml:space="preserve"> d</w:t>
      </w:r>
      <w:r w:rsidR="007956EB" w:rsidRPr="002B4A91">
        <w:rPr>
          <w:rFonts w:ascii="Calibri" w:hAnsi="Calibri" w:cs="Times New Roman"/>
          <w:color w:val="000000" w:themeColor="text1"/>
          <w:sz w:val="22"/>
          <w:szCs w:val="22"/>
        </w:rPr>
        <w:t>e</w:t>
      </w:r>
      <w:r w:rsidRPr="002B4A91">
        <w:rPr>
          <w:rFonts w:ascii="Calibri" w:hAnsi="Calibri" w:cs="Times New Roman"/>
          <w:color w:val="000000" w:themeColor="text1"/>
          <w:sz w:val="22"/>
          <w:szCs w:val="22"/>
        </w:rPr>
        <w:t xml:space="preserve">n folgenden Auszug aus dem Beitrag „Wo die Grenzen des Sagbaren liegen“ von Ingeborg Breuer </w:t>
      </w:r>
      <w:r w:rsidRPr="002B4A91">
        <w:rPr>
          <w:rFonts w:ascii="Calibri" w:hAnsi="Calibri" w:cs="Times New Roman"/>
          <w:b/>
          <w:color w:val="000000" w:themeColor="text1"/>
          <w:sz w:val="22"/>
          <w:szCs w:val="22"/>
        </w:rPr>
        <w:t>(M</w:t>
      </w:r>
      <w:r w:rsidR="007956EB" w:rsidRPr="002B4A91">
        <w:rPr>
          <w:rFonts w:ascii="Calibri" w:hAnsi="Calibri" w:cs="Times New Roman"/>
          <w:b/>
          <w:color w:val="000000" w:themeColor="text1"/>
          <w:sz w:val="22"/>
          <w:szCs w:val="22"/>
        </w:rPr>
        <w:t>2</w:t>
      </w:r>
      <w:r w:rsidRPr="002B4A91">
        <w:rPr>
          <w:rFonts w:ascii="Calibri" w:hAnsi="Calibri" w:cs="Times New Roman"/>
          <w:b/>
          <w:color w:val="000000" w:themeColor="text1"/>
          <w:sz w:val="22"/>
          <w:szCs w:val="22"/>
        </w:rPr>
        <w:t>)</w:t>
      </w:r>
      <w:r w:rsidRPr="002B4A91">
        <w:rPr>
          <w:rFonts w:ascii="Calibri" w:hAnsi="Calibri" w:cs="Times New Roman"/>
          <w:color w:val="000000" w:themeColor="text1"/>
          <w:sz w:val="22"/>
          <w:szCs w:val="22"/>
        </w:rPr>
        <w:t xml:space="preserve"> und </w:t>
      </w:r>
      <w:r w:rsidRPr="002B4A91">
        <w:rPr>
          <w:rFonts w:ascii="Calibri" w:hAnsi="Calibri" w:cs="Times New Roman"/>
          <w:b/>
          <w:bCs/>
          <w:color w:val="000000" w:themeColor="text1"/>
          <w:sz w:val="22"/>
          <w:szCs w:val="22"/>
        </w:rPr>
        <w:t>markiere</w:t>
      </w:r>
      <w:r w:rsidRPr="002B4A91">
        <w:rPr>
          <w:rFonts w:ascii="Calibri" w:hAnsi="Calibri" w:cs="Times New Roman"/>
          <w:color w:val="000000" w:themeColor="text1"/>
          <w:sz w:val="22"/>
          <w:szCs w:val="22"/>
        </w:rPr>
        <w:t xml:space="preserve"> die wichtigsten Textstellen.</w:t>
      </w:r>
    </w:p>
    <w:p w14:paraId="42C6F461" w14:textId="209A3379" w:rsidR="007130BC" w:rsidRPr="002B4A91" w:rsidRDefault="007130BC" w:rsidP="007130BC">
      <w:pPr>
        <w:pStyle w:val="Listenabsatz"/>
        <w:numPr>
          <w:ilvl w:val="0"/>
          <w:numId w:val="15"/>
        </w:numPr>
        <w:autoSpaceDE w:val="0"/>
        <w:autoSpaceDN w:val="0"/>
        <w:adjustRightInd w:val="0"/>
        <w:spacing w:after="0" w:line="240" w:lineRule="auto"/>
        <w:rPr>
          <w:rFonts w:ascii="Calibri" w:hAnsi="Calibri" w:cs="Times New Roman"/>
          <w:color w:val="000000" w:themeColor="text1"/>
          <w:sz w:val="22"/>
          <w:szCs w:val="22"/>
        </w:rPr>
      </w:pPr>
      <w:r w:rsidRPr="002B4A91">
        <w:rPr>
          <w:rFonts w:ascii="Calibri" w:hAnsi="Calibri" w:cs="Times New Roman"/>
          <w:b/>
          <w:bCs/>
          <w:color w:val="000000" w:themeColor="text1"/>
          <w:sz w:val="22"/>
          <w:szCs w:val="22"/>
        </w:rPr>
        <w:t>Skizziere</w:t>
      </w:r>
      <w:r w:rsidRPr="002B4A91">
        <w:rPr>
          <w:rFonts w:ascii="Calibri" w:hAnsi="Calibri" w:cs="Times New Roman"/>
          <w:color w:val="000000" w:themeColor="text1"/>
          <w:sz w:val="22"/>
          <w:szCs w:val="22"/>
        </w:rPr>
        <w:t xml:space="preserve"> die verschiedenen </w:t>
      </w:r>
      <w:r w:rsidRPr="002B4A91">
        <w:rPr>
          <w:rFonts w:ascii="Calibri" w:hAnsi="Calibri" w:cs="Times New Roman"/>
          <w:b/>
          <w:bCs/>
          <w:color w:val="000000" w:themeColor="text1"/>
          <w:sz w:val="22"/>
          <w:szCs w:val="22"/>
        </w:rPr>
        <w:t>Positionen und Argumentationen der Experten</w:t>
      </w:r>
      <w:r w:rsidRPr="002B4A91">
        <w:rPr>
          <w:rFonts w:ascii="Calibri" w:hAnsi="Calibri" w:cs="Times New Roman"/>
          <w:color w:val="000000" w:themeColor="text1"/>
          <w:sz w:val="22"/>
          <w:szCs w:val="22"/>
        </w:rPr>
        <w:t xml:space="preserve"> zur „Grenze des Sagbaren“. </w:t>
      </w:r>
    </w:p>
    <w:p w14:paraId="6599F983" w14:textId="77777777" w:rsidR="007130BC" w:rsidRPr="002B4A91" w:rsidRDefault="007130BC" w:rsidP="007130BC">
      <w:pPr>
        <w:pStyle w:val="Listenabsatz"/>
        <w:numPr>
          <w:ilvl w:val="0"/>
          <w:numId w:val="15"/>
        </w:numPr>
        <w:autoSpaceDE w:val="0"/>
        <w:autoSpaceDN w:val="0"/>
        <w:adjustRightInd w:val="0"/>
        <w:spacing w:after="0" w:line="240" w:lineRule="auto"/>
        <w:jc w:val="left"/>
        <w:rPr>
          <w:rFonts w:ascii="Calibri" w:hAnsi="Calibri" w:cs="Times New Roman"/>
          <w:color w:val="000000" w:themeColor="text1"/>
          <w:sz w:val="22"/>
          <w:szCs w:val="22"/>
        </w:rPr>
      </w:pPr>
      <w:r w:rsidRPr="002B4A91">
        <w:rPr>
          <w:rFonts w:ascii="Calibri" w:hAnsi="Calibri" w:cs="Times New Roman"/>
          <w:b/>
          <w:bCs/>
          <w:color w:val="000000" w:themeColor="text1"/>
          <w:sz w:val="22"/>
          <w:szCs w:val="22"/>
        </w:rPr>
        <w:t xml:space="preserve">Diskutiert </w:t>
      </w:r>
      <w:r w:rsidRPr="002B4A91">
        <w:rPr>
          <w:rFonts w:ascii="Calibri" w:hAnsi="Calibri" w:cs="Times New Roman"/>
          <w:color w:val="000000" w:themeColor="text1"/>
          <w:sz w:val="22"/>
          <w:szCs w:val="22"/>
        </w:rPr>
        <w:t xml:space="preserve">zu zweit/im Plenum, wo für euch persönlich die </w:t>
      </w:r>
      <w:r w:rsidRPr="002B4A91">
        <w:rPr>
          <w:rFonts w:ascii="Calibri" w:hAnsi="Calibri" w:cs="Times New Roman"/>
          <w:b/>
          <w:bCs/>
          <w:color w:val="000000" w:themeColor="text1"/>
          <w:sz w:val="22"/>
          <w:szCs w:val="22"/>
        </w:rPr>
        <w:t>Grenzen des Sagbaren</w:t>
      </w:r>
      <w:r w:rsidRPr="002B4A91">
        <w:rPr>
          <w:rFonts w:ascii="Calibri" w:hAnsi="Calibri" w:cs="Times New Roman"/>
          <w:color w:val="000000" w:themeColor="text1"/>
          <w:sz w:val="22"/>
          <w:szCs w:val="22"/>
        </w:rPr>
        <w:t xml:space="preserve"> liegen. </w:t>
      </w:r>
      <w:r w:rsidRPr="002B4A91">
        <w:rPr>
          <w:rFonts w:ascii="Calibri" w:hAnsi="Calibri" w:cs="Times New Roman"/>
          <w:color w:val="000000" w:themeColor="text1"/>
          <w:sz w:val="22"/>
          <w:szCs w:val="22"/>
        </w:rPr>
        <w:br/>
        <w:t xml:space="preserve">Geht dabei auch auf den </w:t>
      </w:r>
      <w:r w:rsidRPr="002B4A91">
        <w:rPr>
          <w:rFonts w:ascii="Calibri" w:hAnsi="Calibri" w:cs="Times New Roman"/>
          <w:b/>
          <w:bCs/>
          <w:color w:val="000000" w:themeColor="text1"/>
          <w:sz w:val="22"/>
          <w:szCs w:val="22"/>
        </w:rPr>
        <w:t>Sinn und Unsinn</w:t>
      </w:r>
      <w:r w:rsidRPr="002B4A91">
        <w:rPr>
          <w:rFonts w:ascii="Calibri" w:hAnsi="Calibri" w:cs="Times New Roman"/>
          <w:color w:val="000000" w:themeColor="text1"/>
          <w:sz w:val="22"/>
          <w:szCs w:val="22"/>
        </w:rPr>
        <w:t xml:space="preserve"> ein, bestimmte Menschen/Gruppen </w:t>
      </w:r>
      <w:r w:rsidRPr="002B4A91">
        <w:rPr>
          <w:rFonts w:ascii="Calibri" w:hAnsi="Calibri" w:cs="Times New Roman"/>
          <w:b/>
          <w:bCs/>
          <w:color w:val="000000" w:themeColor="text1"/>
          <w:sz w:val="22"/>
          <w:szCs w:val="22"/>
        </w:rPr>
        <w:t>aus Diskursen auszuschließen</w:t>
      </w:r>
      <w:r w:rsidRPr="002B4A91">
        <w:rPr>
          <w:rFonts w:ascii="Calibri" w:hAnsi="Calibri" w:cs="Times New Roman"/>
          <w:color w:val="000000" w:themeColor="text1"/>
          <w:sz w:val="22"/>
          <w:szCs w:val="22"/>
        </w:rPr>
        <w:t xml:space="preserve">. </w:t>
      </w:r>
    </w:p>
    <w:p w14:paraId="5F061358" w14:textId="77777777" w:rsidR="007130BC" w:rsidRDefault="007130BC" w:rsidP="007130BC"/>
    <w:p w14:paraId="2DD0960A" w14:textId="77777777" w:rsidR="007130BC" w:rsidRDefault="007130BC" w:rsidP="007956EB">
      <w:pPr>
        <w:rPr>
          <w:rFonts w:ascii="Calibri" w:hAnsi="Calibri"/>
          <w:b/>
        </w:rPr>
      </w:pPr>
    </w:p>
    <w:p w14:paraId="3EE3ED20" w14:textId="77777777" w:rsidR="00970030" w:rsidRDefault="00970030" w:rsidP="007956EB">
      <w:pPr>
        <w:rPr>
          <w:rFonts w:ascii="Calibri" w:hAnsi="Calibri"/>
          <w:b/>
          <w:sz w:val="8"/>
          <w:szCs w:val="8"/>
        </w:rPr>
      </w:pPr>
    </w:p>
    <w:p w14:paraId="7A515303" w14:textId="77777777" w:rsidR="002B4A91" w:rsidRDefault="002B4A91" w:rsidP="007956EB">
      <w:pPr>
        <w:rPr>
          <w:rFonts w:ascii="Calibri" w:hAnsi="Calibri"/>
          <w:b/>
          <w:sz w:val="8"/>
          <w:szCs w:val="8"/>
        </w:rPr>
      </w:pPr>
    </w:p>
    <w:p w14:paraId="260E777A" w14:textId="77777777" w:rsidR="002B4A91" w:rsidRDefault="002B4A91" w:rsidP="007956EB">
      <w:pPr>
        <w:rPr>
          <w:rFonts w:ascii="Calibri" w:hAnsi="Calibri"/>
          <w:b/>
          <w:sz w:val="8"/>
          <w:szCs w:val="8"/>
        </w:rPr>
      </w:pPr>
    </w:p>
    <w:p w14:paraId="1F3D4402" w14:textId="77777777" w:rsidR="002B4A91" w:rsidRDefault="002B4A91" w:rsidP="007956EB">
      <w:pPr>
        <w:rPr>
          <w:rFonts w:ascii="Calibri" w:hAnsi="Calibri"/>
          <w:b/>
          <w:sz w:val="8"/>
          <w:szCs w:val="8"/>
        </w:rPr>
      </w:pPr>
    </w:p>
    <w:p w14:paraId="1BA36780" w14:textId="29B85262" w:rsidR="002B4A91" w:rsidRPr="002D2AEB" w:rsidRDefault="002B4A91" w:rsidP="007956EB">
      <w:pPr>
        <w:rPr>
          <w:rFonts w:ascii="Calibri" w:hAnsi="Calibri"/>
          <w:b/>
          <w:sz w:val="8"/>
          <w:szCs w:val="8"/>
        </w:rPr>
        <w:sectPr w:rsidR="002B4A91" w:rsidRPr="002D2AEB" w:rsidSect="00987CE5">
          <w:headerReference w:type="default" r:id="rId8"/>
          <w:footerReference w:type="even" r:id="rId9"/>
          <w:footerReference w:type="default" r:id="rId10"/>
          <w:pgSz w:w="11906" w:h="16838"/>
          <w:pgMar w:top="1417" w:right="1417" w:bottom="1134" w:left="1417" w:header="708" w:footer="708" w:gutter="0"/>
          <w:cols w:space="708"/>
          <w:docGrid w:linePitch="360"/>
        </w:sectPr>
      </w:pPr>
    </w:p>
    <w:p w14:paraId="324FA5F5" w14:textId="237BDE00" w:rsidR="00970030" w:rsidRPr="007956EB" w:rsidRDefault="00970030" w:rsidP="002B4A91">
      <w:pPr>
        <w:autoSpaceDE w:val="0"/>
        <w:autoSpaceDN w:val="0"/>
        <w:adjustRightInd w:val="0"/>
        <w:spacing w:after="240"/>
        <w:rPr>
          <w:rFonts w:ascii="Calibri" w:hAnsi="Calibri"/>
          <w:b/>
          <w:sz w:val="8"/>
          <w:szCs w:val="8"/>
        </w:rPr>
      </w:pPr>
      <w:r w:rsidRPr="00F30CD2">
        <w:rPr>
          <w:rFonts w:ascii="Calibri" w:hAnsi="Calibri"/>
          <w:b/>
          <w:bCs/>
        </w:rPr>
        <w:t>M</w:t>
      </w:r>
      <w:r w:rsidR="007956EB">
        <w:rPr>
          <w:rFonts w:ascii="Calibri" w:hAnsi="Calibri"/>
          <w:b/>
          <w:bCs/>
        </w:rPr>
        <w:t>1</w:t>
      </w:r>
      <w:r w:rsidRPr="00F30CD2">
        <w:rPr>
          <w:rFonts w:ascii="Calibri" w:hAnsi="Calibri"/>
          <w:b/>
          <w:bCs/>
        </w:rPr>
        <w:t xml:space="preserve"> – „Das wird man ja wohl noch sagen dürfen!“</w:t>
      </w:r>
    </w:p>
    <w:p w14:paraId="40D98247" w14:textId="71D82AF7" w:rsidR="00970030" w:rsidRPr="002B4A91" w:rsidRDefault="007956EB" w:rsidP="00BA3485">
      <w:pPr>
        <w:autoSpaceDE w:val="0"/>
        <w:autoSpaceDN w:val="0"/>
        <w:adjustRightInd w:val="0"/>
        <w:jc w:val="both"/>
        <w:rPr>
          <w:rFonts w:ascii="Calibri" w:hAnsi="Calibri"/>
          <w:sz w:val="22"/>
          <w:szCs w:val="22"/>
        </w:rPr>
      </w:pPr>
      <w:r w:rsidRPr="002B4A91">
        <w:rPr>
          <w:rFonts w:ascii="Calibri" w:hAnsi="Calibri"/>
          <w:noProof/>
          <w:sz w:val="22"/>
          <w:szCs w:val="22"/>
        </w:rPr>
        <mc:AlternateContent>
          <mc:Choice Requires="wps">
            <w:drawing>
              <wp:anchor distT="0" distB="0" distL="114300" distR="114300" simplePos="0" relativeHeight="251682816" behindDoc="1" locked="0" layoutInCell="1" allowOverlap="1" wp14:anchorId="1DD4CBEC" wp14:editId="17C62528">
                <wp:simplePos x="0" y="0"/>
                <wp:positionH relativeFrom="column">
                  <wp:posOffset>4662170</wp:posOffset>
                </wp:positionH>
                <wp:positionV relativeFrom="paragraph">
                  <wp:posOffset>59055</wp:posOffset>
                </wp:positionV>
                <wp:extent cx="1676400" cy="1536700"/>
                <wp:effectExtent l="12700" t="12700" r="12700" b="12700"/>
                <wp:wrapTight wrapText="bothSides">
                  <wp:wrapPolygon edited="0">
                    <wp:start x="-164" y="-179"/>
                    <wp:lineTo x="-164" y="21600"/>
                    <wp:lineTo x="21600" y="21600"/>
                    <wp:lineTo x="21600" y="-179"/>
                    <wp:lineTo x="-164" y="-179"/>
                  </wp:wrapPolygon>
                </wp:wrapTight>
                <wp:docPr id="45" name="Textfeld 45"/>
                <wp:cNvGraphicFramePr/>
                <a:graphic xmlns:a="http://schemas.openxmlformats.org/drawingml/2006/main">
                  <a:graphicData uri="http://schemas.microsoft.com/office/word/2010/wordprocessingShape">
                    <wps:wsp>
                      <wps:cNvSpPr txBox="1"/>
                      <wps:spPr>
                        <a:xfrm>
                          <a:off x="0" y="0"/>
                          <a:ext cx="1676400" cy="153670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61CA1162" w14:textId="144BFB4B" w:rsidR="00987CE5" w:rsidRPr="00CE2BD1" w:rsidRDefault="00BA3485" w:rsidP="00E16BDC">
                            <w:pPr>
                              <w:rPr>
                                <w:rFonts w:ascii="Calibri" w:hAnsi="Calibri" w:cs="Calibri"/>
                                <w:sz w:val="18"/>
                                <w:szCs w:val="18"/>
                              </w:rPr>
                            </w:pPr>
                            <w:r>
                              <w:rPr>
                                <w:rFonts w:ascii="Calibri" w:hAnsi="Calibri" w:cs="Calibri"/>
                                <w:b/>
                                <w:color w:val="000000" w:themeColor="text1"/>
                                <w:sz w:val="18"/>
                                <w:szCs w:val="18"/>
                              </w:rPr>
                              <w:t>*</w:t>
                            </w:r>
                            <w:r w:rsidR="00987CE5" w:rsidRPr="00CE2BD1">
                              <w:rPr>
                                <w:rFonts w:ascii="Calibri" w:hAnsi="Calibri" w:cs="Calibri"/>
                                <w:b/>
                                <w:color w:val="000000" w:themeColor="text1"/>
                                <w:sz w:val="18"/>
                                <w:szCs w:val="18"/>
                              </w:rPr>
                              <w:t>Volksverhetzung</w:t>
                            </w:r>
                            <w:r w:rsidR="00987CE5" w:rsidRPr="00CE2BD1">
                              <w:rPr>
                                <w:rFonts w:ascii="Calibri" w:hAnsi="Calibri" w:cs="Calibri"/>
                                <w:color w:val="000000" w:themeColor="text1"/>
                                <w:sz w:val="18"/>
                                <w:szCs w:val="18"/>
                              </w:rPr>
                              <w:t xml:space="preserve"> (die): Stören des öffentlichen Friedens durch Aufstachelung, Hetze oder Aufruf zu Gewalt gegen eine </w:t>
                            </w:r>
                            <w:hyperlink r:id="rId11" w:tooltip="Nation" w:history="1">
                              <w:r w:rsidR="00987CE5" w:rsidRPr="00CE2BD1">
                                <w:rPr>
                                  <w:rStyle w:val="Hyperlink"/>
                                  <w:rFonts w:ascii="Calibri" w:hAnsi="Calibri" w:cs="Calibri"/>
                                  <w:color w:val="000000" w:themeColor="text1"/>
                                  <w:sz w:val="18"/>
                                  <w:szCs w:val="18"/>
                                </w:rPr>
                                <w:t>nationale</w:t>
                              </w:r>
                            </w:hyperlink>
                            <w:r w:rsidR="00987CE5" w:rsidRPr="00CE2BD1">
                              <w:rPr>
                                <w:rFonts w:ascii="Calibri" w:hAnsi="Calibri" w:cs="Calibri"/>
                                <w:color w:val="000000" w:themeColor="text1"/>
                                <w:sz w:val="18"/>
                                <w:szCs w:val="18"/>
                              </w:rPr>
                              <w:t xml:space="preserve">, </w:t>
                            </w:r>
                            <w:hyperlink r:id="rId12" w:tooltip="Religion" w:history="1">
                              <w:r w:rsidR="00987CE5" w:rsidRPr="00CE2BD1">
                                <w:rPr>
                                  <w:rStyle w:val="Hyperlink"/>
                                  <w:rFonts w:ascii="Calibri" w:hAnsi="Calibri" w:cs="Calibri"/>
                                  <w:color w:val="000000" w:themeColor="text1"/>
                                  <w:sz w:val="18"/>
                                  <w:szCs w:val="18"/>
                                </w:rPr>
                                <w:t>religiöse</w:t>
                              </w:r>
                            </w:hyperlink>
                            <w:r w:rsidR="00987CE5" w:rsidRPr="00CE2BD1">
                              <w:rPr>
                                <w:rFonts w:ascii="Calibri" w:hAnsi="Calibri" w:cs="Calibri"/>
                                <w:color w:val="000000" w:themeColor="text1"/>
                                <w:sz w:val="18"/>
                                <w:szCs w:val="18"/>
                              </w:rPr>
                              <w:t xml:space="preserve"> oder durch ihre </w:t>
                            </w:r>
                            <w:hyperlink r:id="rId13" w:tooltip="Ethnie" w:history="1">
                              <w:r w:rsidR="00987CE5" w:rsidRPr="00CE2BD1">
                                <w:rPr>
                                  <w:rStyle w:val="Hyperlink"/>
                                  <w:rFonts w:ascii="Calibri" w:hAnsi="Calibri" w:cs="Calibri"/>
                                  <w:color w:val="000000" w:themeColor="text1"/>
                                  <w:sz w:val="18"/>
                                  <w:szCs w:val="18"/>
                                </w:rPr>
                                <w:t>ethnische</w:t>
                              </w:r>
                            </w:hyperlink>
                            <w:r w:rsidR="00987CE5" w:rsidRPr="00CE2BD1">
                              <w:rPr>
                                <w:rFonts w:ascii="Calibri" w:hAnsi="Calibri" w:cs="Calibri"/>
                                <w:color w:val="000000" w:themeColor="text1"/>
                                <w:sz w:val="18"/>
                                <w:szCs w:val="18"/>
                              </w:rPr>
                              <w:t xml:space="preserve"> Herkunft bestimmte Gruppe oder Einzelpersonen.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D4CBEC" id="_x0000_t202" coordsize="21600,21600" o:spt="202" path="m,l,21600r21600,l21600,xe">
                <v:stroke joinstyle="miter"/>
                <v:path gradientshapeok="t" o:connecttype="rect"/>
              </v:shapetype>
              <v:shape id="Textfeld 45" o:spid="_x0000_s1027" type="#_x0000_t202" style="position:absolute;left:0;text-align:left;margin-left:367.1pt;margin-top:4.65pt;width:132pt;height:12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pSNdAIAAEgFAAAOAAAAZHJzL2Uyb0RvYy54bWysVN9v2jAQfp+0/8Hy+5rAKHSooWJFTJNQ&#10;W41OfTaODdYcn2cbEvbX7+yElHU8TXtxfLn7vvvt27um0uQgnFdgCjq4yikRhkOpzLag35+XH24o&#10;8YGZkmkwoqBH4end7P2729pOxRB2oEvhCJIYP61tQXch2GmWeb4TFfNXYIVBpQRXsYCi22alYzWy&#10;Vzob5vk4q8GV1gEX3uPfRauks8QvpeDhUUovAtEFxdhCOl06N/HMZrdsunXM7hTvwmD/EEXFlEGn&#10;PdWCBUb2Tv1FVSnuwIMMVxyqDKRUXKQcMJtB/iab9Y5ZkXLB4njbl8n/P1r+cFjbJ0dC8xkabGAs&#10;SG391OPPmE8jXRW/GClBPZbw2JdNNIHwCBpPxqMcVRx1g+uP4wkKyJO9wq3z4YuAisRLQR32JZWL&#10;HVY+tKYnk+hNm3h60KpcKq2T4Labe+3IgWEnb0bz5WLR+TgzQ48Rmr1mkG7hqEVL+01IokqMeZjc&#10;pzETPS3jXJiQapCY0DrCJIbQAweXgLoHdbYRJtL49cD8EvBPjz0ieQUTenClDLhLBOWPU7iytT9l&#10;3+Yc0w/NpsGkz5q7gfKIPXfQroO3fKmwLyvmwxNzOP/YS9zp8IiH1FAXFLobJTtwvy79j/Y4lqil&#10;pMZ9Kqj/uWdOUKK/GhzYT4PRKC5gEkbXkyEK7lyzOdeYfXUP2OgBvh6Wp2u0D/p0lQ6qF1z9efSK&#10;KmY4+i5oOF3vQ7vl+HRwMZ8nI1w5y8LKrC2P1LHKceqemxfmbDeaAaf6AU6bx6ZvJrS1jUgD830A&#10;qdL4xjq3Ve3qj+uaFqB7WuJ7cC4nq9cHcPYbAAD//wMAUEsDBBQABgAIAAAAIQCBJ74t3gAAAAkB&#10;AAAPAAAAZHJzL2Rvd25yZXYueG1sTI/NasMwEITvhb6D2EIvJZFj12nsWg4lECjklLQPoFhby0Q/&#10;RlIc9+27PbXHYYaZb5rtbA2bMMTBOwGrZQYMXefV4HoBnx/7xQZYTNIpabxDAd8YYdve3zWyVv7m&#10;jjidUs+oxMVaCtApjTXnsdNoZVz6ER15Xz5YmUiGnqsgb1RuDc+zbM2tHBwtaDniTmN3OV2tgH3S&#10;Xammwxjy6umS+MGXZvcuxOPD/PYKLOGc/sLwi0/o0BLT2V+diswIeCmec4oKqApg5FfVhvRZQF6u&#10;CuBtw/8/aH8AAAD//wMAUEsBAi0AFAAGAAgAAAAhALaDOJL+AAAA4QEAABMAAAAAAAAAAAAAAAAA&#10;AAAAAFtDb250ZW50X1R5cGVzXS54bWxQSwECLQAUAAYACAAAACEAOP0h/9YAAACUAQAACwAAAAAA&#10;AAAAAAAAAAAvAQAAX3JlbHMvLnJlbHNQSwECLQAUAAYACAAAACEAbJqUjXQCAABIBQAADgAAAAAA&#10;AAAAAAAAAAAuAgAAZHJzL2Uyb0RvYy54bWxQSwECLQAUAAYACAAAACEAgSe+Ld4AAAAJAQAADwAA&#10;AAAAAAAAAAAAAADOBAAAZHJzL2Rvd25yZXYueG1sUEsFBgAAAAAEAAQA8wAAANkFAAAAAA==&#10;" fillcolor="white [3201]" strokecolor="#84afdd" strokeweight="1.5pt">
                <v:stroke endcap="round"/>
                <v:textbox>
                  <w:txbxContent>
                    <w:p w14:paraId="61CA1162" w14:textId="144BFB4B" w:rsidR="00987CE5" w:rsidRPr="00CE2BD1" w:rsidRDefault="00BA3485" w:rsidP="00E16BDC">
                      <w:pPr>
                        <w:rPr>
                          <w:rFonts w:ascii="Calibri" w:hAnsi="Calibri" w:cs="Calibri"/>
                          <w:sz w:val="18"/>
                          <w:szCs w:val="18"/>
                        </w:rPr>
                      </w:pPr>
                      <w:r>
                        <w:rPr>
                          <w:rFonts w:ascii="Calibri" w:hAnsi="Calibri" w:cs="Calibri"/>
                          <w:b/>
                          <w:color w:val="000000" w:themeColor="text1"/>
                          <w:sz w:val="18"/>
                          <w:szCs w:val="18"/>
                        </w:rPr>
                        <w:t>*</w:t>
                      </w:r>
                      <w:r w:rsidR="00987CE5" w:rsidRPr="00CE2BD1">
                        <w:rPr>
                          <w:rFonts w:ascii="Calibri" w:hAnsi="Calibri" w:cs="Calibri"/>
                          <w:b/>
                          <w:color w:val="000000" w:themeColor="text1"/>
                          <w:sz w:val="18"/>
                          <w:szCs w:val="18"/>
                        </w:rPr>
                        <w:t>Volksverhetzung</w:t>
                      </w:r>
                      <w:r w:rsidR="00987CE5" w:rsidRPr="00CE2BD1">
                        <w:rPr>
                          <w:rFonts w:ascii="Calibri" w:hAnsi="Calibri" w:cs="Calibri"/>
                          <w:color w:val="000000" w:themeColor="text1"/>
                          <w:sz w:val="18"/>
                          <w:szCs w:val="18"/>
                        </w:rPr>
                        <w:t xml:space="preserve"> (die): Stören des öffentlichen Friedens durch Aufstachelung, Hetze oder Aufruf zu Gewalt gegen eine </w:t>
                      </w:r>
                      <w:hyperlink r:id="rId14" w:tooltip="Nation" w:history="1">
                        <w:r w:rsidR="00987CE5" w:rsidRPr="00CE2BD1">
                          <w:rPr>
                            <w:rStyle w:val="Hyperlink"/>
                            <w:rFonts w:ascii="Calibri" w:hAnsi="Calibri" w:cs="Calibri"/>
                            <w:color w:val="000000" w:themeColor="text1"/>
                            <w:sz w:val="18"/>
                            <w:szCs w:val="18"/>
                          </w:rPr>
                          <w:t>nationale</w:t>
                        </w:r>
                      </w:hyperlink>
                      <w:r w:rsidR="00987CE5" w:rsidRPr="00CE2BD1">
                        <w:rPr>
                          <w:rFonts w:ascii="Calibri" w:hAnsi="Calibri" w:cs="Calibri"/>
                          <w:color w:val="000000" w:themeColor="text1"/>
                          <w:sz w:val="18"/>
                          <w:szCs w:val="18"/>
                        </w:rPr>
                        <w:t xml:space="preserve">, </w:t>
                      </w:r>
                      <w:hyperlink r:id="rId15" w:tooltip="Religion" w:history="1">
                        <w:r w:rsidR="00987CE5" w:rsidRPr="00CE2BD1">
                          <w:rPr>
                            <w:rStyle w:val="Hyperlink"/>
                            <w:rFonts w:ascii="Calibri" w:hAnsi="Calibri" w:cs="Calibri"/>
                            <w:color w:val="000000" w:themeColor="text1"/>
                            <w:sz w:val="18"/>
                            <w:szCs w:val="18"/>
                          </w:rPr>
                          <w:t>religiöse</w:t>
                        </w:r>
                      </w:hyperlink>
                      <w:r w:rsidR="00987CE5" w:rsidRPr="00CE2BD1">
                        <w:rPr>
                          <w:rFonts w:ascii="Calibri" w:hAnsi="Calibri" w:cs="Calibri"/>
                          <w:color w:val="000000" w:themeColor="text1"/>
                          <w:sz w:val="18"/>
                          <w:szCs w:val="18"/>
                        </w:rPr>
                        <w:t xml:space="preserve"> oder durch ihre </w:t>
                      </w:r>
                      <w:hyperlink r:id="rId16" w:tooltip="Ethnie" w:history="1">
                        <w:r w:rsidR="00987CE5" w:rsidRPr="00CE2BD1">
                          <w:rPr>
                            <w:rStyle w:val="Hyperlink"/>
                            <w:rFonts w:ascii="Calibri" w:hAnsi="Calibri" w:cs="Calibri"/>
                            <w:color w:val="000000" w:themeColor="text1"/>
                            <w:sz w:val="18"/>
                            <w:szCs w:val="18"/>
                          </w:rPr>
                          <w:t>ethnische</w:t>
                        </w:r>
                      </w:hyperlink>
                      <w:r w:rsidR="00987CE5" w:rsidRPr="00CE2BD1">
                        <w:rPr>
                          <w:rFonts w:ascii="Calibri" w:hAnsi="Calibri" w:cs="Calibri"/>
                          <w:color w:val="000000" w:themeColor="text1"/>
                          <w:sz w:val="18"/>
                          <w:szCs w:val="18"/>
                        </w:rPr>
                        <w:t xml:space="preserve"> Herkunft bestimmte Gruppe oder Einzelpersonen.</w:t>
                      </w:r>
                    </w:p>
                  </w:txbxContent>
                </v:textbox>
                <w10:wrap type="tight"/>
              </v:shape>
            </w:pict>
          </mc:Fallback>
        </mc:AlternateContent>
      </w:r>
      <w:r w:rsidR="00970030" w:rsidRPr="002B4A91">
        <w:rPr>
          <w:rFonts w:ascii="Calibri" w:hAnsi="Calibri"/>
          <w:sz w:val="22"/>
          <w:szCs w:val="22"/>
        </w:rPr>
        <w:t xml:space="preserve">Die Meinungsfreiheit (Art. 5 Abs. 1 GG), auch in der gemeinsamen Ausübung in Form von öffentlichen Versammlungen (Art. 8 GG) oder mithilfe von Vereinigungen (Art. 9 GG), genießt in Deutschland besonderen Schutz. </w:t>
      </w:r>
      <w:r w:rsidR="00970030" w:rsidRPr="002B4A91">
        <w:rPr>
          <w:rFonts w:ascii="Calibri" w:hAnsi="Calibri"/>
          <w:sz w:val="22"/>
          <w:szCs w:val="22"/>
        </w:rPr>
        <w:br/>
        <w:t>Wie andere Grundrechte steht sie auch den Gegner</w:t>
      </w:r>
      <w:r w:rsidR="006A5853">
        <w:rPr>
          <w:rFonts w:ascii="Calibri" w:hAnsi="Calibri"/>
          <w:sz w:val="22"/>
          <w:szCs w:val="22"/>
        </w:rPr>
        <w:t>/</w:t>
      </w:r>
      <w:r w:rsidR="00970030" w:rsidRPr="002B4A91">
        <w:rPr>
          <w:rFonts w:ascii="Calibri" w:hAnsi="Calibri"/>
          <w:sz w:val="22"/>
          <w:szCs w:val="22"/>
        </w:rPr>
        <w:t>innen der Demokratie und der Freiheit zu. Doch auch wenn die Grundrechte im Grundgesetz vor allem die Bürger</w:t>
      </w:r>
      <w:r w:rsidR="006A5853">
        <w:rPr>
          <w:rFonts w:ascii="Calibri" w:hAnsi="Calibri"/>
          <w:sz w:val="22"/>
          <w:szCs w:val="22"/>
        </w:rPr>
        <w:t>/</w:t>
      </w:r>
      <w:r w:rsidR="003D6300" w:rsidRPr="002B4A91">
        <w:rPr>
          <w:rFonts w:ascii="Calibri" w:hAnsi="Calibri"/>
          <w:sz w:val="22"/>
          <w:szCs w:val="22"/>
        </w:rPr>
        <w:t>innen</w:t>
      </w:r>
      <w:r w:rsidR="00970030" w:rsidRPr="002B4A91">
        <w:rPr>
          <w:rFonts w:ascii="Calibri" w:hAnsi="Calibri"/>
          <w:sz w:val="22"/>
          <w:szCs w:val="22"/>
        </w:rPr>
        <w:t xml:space="preserve"> vor dem Staat schützen sollen, haben gewisse Rechte ihre Grenzen. </w:t>
      </w:r>
    </w:p>
    <w:p w14:paraId="7367B648" w14:textId="01326A1E" w:rsidR="00970030" w:rsidRPr="002B4A91" w:rsidRDefault="00BA3485" w:rsidP="00BA3485">
      <w:pPr>
        <w:jc w:val="both"/>
        <w:rPr>
          <w:rFonts w:ascii="Calibri" w:hAnsi="Calibri"/>
          <w:sz w:val="22"/>
          <w:szCs w:val="22"/>
        </w:rPr>
      </w:pPr>
      <w:r w:rsidRPr="002B4A91">
        <w:rPr>
          <w:rFonts w:ascii="Calibri" w:hAnsi="Calibri"/>
          <w:noProof/>
          <w:sz w:val="22"/>
          <w:szCs w:val="22"/>
        </w:rPr>
        <mc:AlternateContent>
          <mc:Choice Requires="wps">
            <w:drawing>
              <wp:anchor distT="0" distB="0" distL="114300" distR="114300" simplePos="0" relativeHeight="251683840" behindDoc="1" locked="0" layoutInCell="1" allowOverlap="1" wp14:anchorId="30809337" wp14:editId="278C2E06">
                <wp:simplePos x="0" y="0"/>
                <wp:positionH relativeFrom="column">
                  <wp:posOffset>4725191</wp:posOffset>
                </wp:positionH>
                <wp:positionV relativeFrom="paragraph">
                  <wp:posOffset>679378</wp:posOffset>
                </wp:positionV>
                <wp:extent cx="1612900" cy="1816100"/>
                <wp:effectExtent l="12700" t="12700" r="12700" b="12700"/>
                <wp:wrapTight wrapText="bothSides">
                  <wp:wrapPolygon edited="0">
                    <wp:start x="-170" y="-151"/>
                    <wp:lineTo x="-170" y="21600"/>
                    <wp:lineTo x="21600" y="21600"/>
                    <wp:lineTo x="21600" y="-151"/>
                    <wp:lineTo x="-170" y="-151"/>
                  </wp:wrapPolygon>
                </wp:wrapTight>
                <wp:docPr id="47" name="Textfeld 47"/>
                <wp:cNvGraphicFramePr/>
                <a:graphic xmlns:a="http://schemas.openxmlformats.org/drawingml/2006/main">
                  <a:graphicData uri="http://schemas.microsoft.com/office/word/2010/wordprocessingShape">
                    <wps:wsp>
                      <wps:cNvSpPr txBox="1"/>
                      <wps:spPr>
                        <a:xfrm>
                          <a:off x="0" y="0"/>
                          <a:ext cx="1612900" cy="181610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3DB49031" w14:textId="1658BA74" w:rsidR="00987CE5" w:rsidRPr="001D6E1B" w:rsidRDefault="00BA3485" w:rsidP="002D2AEB">
                            <w:pPr>
                              <w:rPr>
                                <w:rFonts w:ascii="Calibri" w:hAnsi="Calibri" w:cs="Calibri"/>
                                <w:sz w:val="18"/>
                                <w:szCs w:val="18"/>
                              </w:rPr>
                            </w:pPr>
                            <w:r>
                              <w:rPr>
                                <w:rFonts w:ascii="Calibri" w:hAnsi="Calibri" w:cs="Calibri"/>
                                <w:b/>
                                <w:sz w:val="18"/>
                                <w:szCs w:val="18"/>
                              </w:rPr>
                              <w:t>*</w:t>
                            </w:r>
                            <w:proofErr w:type="spellStart"/>
                            <w:r w:rsidR="00987CE5" w:rsidRPr="001D6E1B">
                              <w:rPr>
                                <w:rFonts w:ascii="Calibri" w:hAnsi="Calibri" w:cs="Calibri"/>
                                <w:b/>
                                <w:sz w:val="18"/>
                                <w:szCs w:val="18"/>
                              </w:rPr>
                              <w:t>Hate</w:t>
                            </w:r>
                            <w:proofErr w:type="spellEnd"/>
                            <w:r w:rsidR="00987CE5" w:rsidRPr="001D6E1B">
                              <w:rPr>
                                <w:rFonts w:ascii="Calibri" w:hAnsi="Calibri" w:cs="Calibri"/>
                                <w:b/>
                                <w:sz w:val="18"/>
                                <w:szCs w:val="18"/>
                              </w:rPr>
                              <w:t xml:space="preserve"> Speech</w:t>
                            </w:r>
                            <w:r w:rsidR="00987CE5" w:rsidRPr="001D6E1B">
                              <w:rPr>
                                <w:rFonts w:ascii="Calibri" w:hAnsi="Calibri" w:cs="Calibri"/>
                                <w:sz w:val="18"/>
                                <w:szCs w:val="18"/>
                              </w:rPr>
                              <w:t xml:space="preserve"> (die), englisch, bezeichnet Hassreden vor allem im Internet; hierunter werden sprachliche Herabwürdigungen und die Verunglimpfung bestimmter Personen oder Personengruppen gefasst.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09337" id="Textfeld 47" o:spid="_x0000_s1028" type="#_x0000_t202" style="position:absolute;left:0;text-align:left;margin-left:372.05pt;margin-top:53.5pt;width:127pt;height:14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uLbdAIAAEgFAAAOAAAAZHJzL2Uyb0RvYy54bWysVN9v2jAQfp+0/8Hy+0iCWNeihooVMU1C&#10;bTU69dk4NlhzfJ5tSNhfv7MTUtbxNO3F8eXu++63b+/aWpODcF6BKWkxyikRhkOlzLak35+XH64p&#10;8YGZimkwoqRH4end7P2728ZOxRh2oCvhCJIYP21sSXch2GmWeb4TNfMjsMKgUoKrWUDRbbPKsQbZ&#10;a52N8/wqa8BV1gEX3uPfRaeks8QvpeDhUUovAtElxdhCOl06N/HMZrdsunXM7hTvw2D/EEXNlEGn&#10;A9WCBUb2Tv1FVSvuwIMMIw51BlIqLlIOmE2Rv8lmvWNWpFywON4OZfL/j5Y/HNb2yZHQfoYWGxgL&#10;0lg/9fgz5tNKV8cvRkpQjyU8DmUTbSA8gq6K8U2OKo664hpFFJAne4Vb58MXATWJl5I67EsqFzus&#10;fOhMTybRmzbx9KBVtVRaJ8FtN/fakQPDTl5P5svFovdxZoYeIzR7zSDdwlGLjvabkERVGPM4uU9j&#10;JgZaxrkwIdUgMaF1hEkMYQAWl4B6APW2ESbS+A3A/BLwT48DInkFEwZwrQy4SwTVj1O4srM/Zd/l&#10;HNMP7abFpGPOfXM3UB2x5w66dfCWLxX2ZcV8eGIO5x97iTsdHvGQGpqSQn+jZAfu16X/0R7HErWU&#10;NLhPJfU/98wJSvRXgwN7U0wmcQGTMPn4aYyCO9dszjVmX98DNrrA18PydI32QZ+u0kH9gqs/j15R&#10;xQxH3yUNp+t96LYcnw4u5vNkhCtnWViZteWROlY5Tt1z+8Kc7Ucz4FQ/wGnz2PTNhHa2EWlgvg8g&#10;VRrfWOeuqn39cV3TAvRPS3wPzuVk9foAzn4DAAD//wMAUEsDBBQABgAIAAAAIQD1pDUy3gAAAAsB&#10;AAAPAAAAZHJzL2Rvd25yZXYueG1sTI/NasMwEITvhb6D2EIvJZHyH7uWQwkECjkl7QMo1tYy0Y+R&#10;FMd9+25P7XFnPmZnqt3oLBswpi54CbOpAIa+CbrzrYTPj8NkCyxl5bWywaOEb0ywqx8fKlXqcPcn&#10;HM65ZRTiU6kkmJz7kvPUGHQqTUOPnryvEJ3KdMaW66juFO4snwux5k51nj4Y1ePeYHM935yEQzbN&#10;Sg/HPs6Ll2vmx7Cy+3cpn5/Gt1dgGcf8B8NvfaoONXW6hJvXiVkJm+VyRigZYkOjiCiKLSkXCYti&#10;IYDXFf+/of4BAAD//wMAUEsBAi0AFAAGAAgAAAAhALaDOJL+AAAA4QEAABMAAAAAAAAAAAAAAAAA&#10;AAAAAFtDb250ZW50X1R5cGVzXS54bWxQSwECLQAUAAYACAAAACEAOP0h/9YAAACUAQAACwAAAAAA&#10;AAAAAAAAAAAvAQAAX3JlbHMvLnJlbHNQSwECLQAUAAYACAAAACEA9Wbi23QCAABIBQAADgAAAAAA&#10;AAAAAAAAAAAuAgAAZHJzL2Uyb0RvYy54bWxQSwECLQAUAAYACAAAACEA9aQ1Mt4AAAALAQAADwAA&#10;AAAAAAAAAAAAAADOBAAAZHJzL2Rvd25yZXYueG1sUEsFBgAAAAAEAAQA8wAAANkFAAAAAA==&#10;" fillcolor="white [3201]" strokecolor="#84afdd" strokeweight="1.5pt">
                <v:stroke endcap="round"/>
                <v:textbox>
                  <w:txbxContent>
                    <w:p w14:paraId="3DB49031" w14:textId="1658BA74" w:rsidR="00987CE5" w:rsidRPr="001D6E1B" w:rsidRDefault="00BA3485" w:rsidP="002D2AEB">
                      <w:pPr>
                        <w:rPr>
                          <w:rFonts w:ascii="Calibri" w:hAnsi="Calibri" w:cs="Calibri"/>
                          <w:sz w:val="18"/>
                          <w:szCs w:val="18"/>
                        </w:rPr>
                      </w:pPr>
                      <w:r>
                        <w:rPr>
                          <w:rFonts w:ascii="Calibri" w:hAnsi="Calibri" w:cs="Calibri"/>
                          <w:b/>
                          <w:sz w:val="18"/>
                          <w:szCs w:val="18"/>
                        </w:rPr>
                        <w:t>*</w:t>
                      </w:r>
                      <w:proofErr w:type="spellStart"/>
                      <w:r w:rsidR="00987CE5" w:rsidRPr="001D6E1B">
                        <w:rPr>
                          <w:rFonts w:ascii="Calibri" w:hAnsi="Calibri" w:cs="Calibri"/>
                          <w:b/>
                          <w:sz w:val="18"/>
                          <w:szCs w:val="18"/>
                        </w:rPr>
                        <w:t>Hate</w:t>
                      </w:r>
                      <w:proofErr w:type="spellEnd"/>
                      <w:r w:rsidR="00987CE5" w:rsidRPr="001D6E1B">
                        <w:rPr>
                          <w:rFonts w:ascii="Calibri" w:hAnsi="Calibri" w:cs="Calibri"/>
                          <w:b/>
                          <w:sz w:val="18"/>
                          <w:szCs w:val="18"/>
                        </w:rPr>
                        <w:t xml:space="preserve"> Speech</w:t>
                      </w:r>
                      <w:r w:rsidR="00987CE5" w:rsidRPr="001D6E1B">
                        <w:rPr>
                          <w:rFonts w:ascii="Calibri" w:hAnsi="Calibri" w:cs="Calibri"/>
                          <w:sz w:val="18"/>
                          <w:szCs w:val="18"/>
                        </w:rPr>
                        <w:t xml:space="preserve"> (die), englisch, bezeichnet Hassreden vor allem im Internet; hierunter werden sprachliche Herabwürdigungen und die Verunglimpfung bestimmter Personen oder Personengruppen gefasst.</w:t>
                      </w:r>
                    </w:p>
                  </w:txbxContent>
                </v:textbox>
                <w10:wrap type="tight"/>
              </v:shape>
            </w:pict>
          </mc:Fallback>
        </mc:AlternateContent>
      </w:r>
      <w:r w:rsidR="00970030" w:rsidRPr="002B4A91">
        <w:rPr>
          <w:rFonts w:ascii="Calibri" w:hAnsi="Calibri"/>
          <w:sz w:val="22"/>
          <w:szCs w:val="22"/>
        </w:rPr>
        <w:t xml:space="preserve">So kann die Meinungsfreiheit durch das Strafrecht beschränkt werden, wenn es sich beispielsweise um Beleidigung oder </w:t>
      </w:r>
      <w:r w:rsidR="00970030" w:rsidRPr="002B4A91">
        <w:rPr>
          <w:rFonts w:ascii="Calibri" w:hAnsi="Calibri"/>
          <w:b/>
          <w:sz w:val="22"/>
          <w:szCs w:val="22"/>
        </w:rPr>
        <w:t>Volksverhetzung*</w:t>
      </w:r>
      <w:r w:rsidR="00970030" w:rsidRPr="002B4A91">
        <w:rPr>
          <w:rFonts w:ascii="Calibri" w:hAnsi="Calibri"/>
          <w:sz w:val="22"/>
          <w:szCs w:val="22"/>
        </w:rPr>
        <w:t xml:space="preserve"> handelt. Dies gilt auch für so genannte </w:t>
      </w:r>
      <w:proofErr w:type="spellStart"/>
      <w:r w:rsidR="00970030" w:rsidRPr="002B4A91">
        <w:rPr>
          <w:rFonts w:ascii="Calibri" w:hAnsi="Calibri"/>
          <w:b/>
          <w:iCs/>
          <w:sz w:val="22"/>
          <w:szCs w:val="22"/>
        </w:rPr>
        <w:t>Hate</w:t>
      </w:r>
      <w:proofErr w:type="spellEnd"/>
      <w:r w:rsidR="00970030" w:rsidRPr="002B4A91">
        <w:rPr>
          <w:rFonts w:ascii="Calibri" w:hAnsi="Calibri"/>
          <w:b/>
          <w:iCs/>
          <w:sz w:val="22"/>
          <w:szCs w:val="22"/>
        </w:rPr>
        <w:t xml:space="preserve"> Speech*</w:t>
      </w:r>
      <w:r w:rsidR="00970030" w:rsidRPr="002B4A91">
        <w:rPr>
          <w:rFonts w:ascii="Calibri" w:hAnsi="Calibri"/>
          <w:i/>
          <w:iCs/>
          <w:sz w:val="22"/>
          <w:szCs w:val="22"/>
        </w:rPr>
        <w:t xml:space="preserve"> </w:t>
      </w:r>
      <w:r w:rsidR="00970030" w:rsidRPr="002B4A91">
        <w:rPr>
          <w:rFonts w:ascii="Calibri" w:hAnsi="Calibri"/>
          <w:sz w:val="22"/>
          <w:szCs w:val="22"/>
        </w:rPr>
        <w:t>im Internet, wenn Menschen ein Verbrechen angedroht wird oder sie in ihrer Menschenwürde verletzt werden.</w:t>
      </w:r>
      <w:r w:rsidR="00970030" w:rsidRPr="002B4A91">
        <w:rPr>
          <w:rStyle w:val="Funotenzeichen"/>
          <w:rFonts w:ascii="Calibri" w:hAnsi="Calibri"/>
          <w:sz w:val="22"/>
          <w:szCs w:val="22"/>
        </w:rPr>
        <w:footnoteReference w:id="1"/>
      </w:r>
    </w:p>
    <w:p w14:paraId="36241E4E" w14:textId="1B395303" w:rsidR="00970030" w:rsidRPr="002B4A91" w:rsidRDefault="00970030" w:rsidP="00BA3485">
      <w:pPr>
        <w:jc w:val="both"/>
        <w:rPr>
          <w:rFonts w:ascii="Calibri" w:hAnsi="Calibri"/>
          <w:sz w:val="22"/>
          <w:szCs w:val="22"/>
        </w:rPr>
      </w:pPr>
      <w:r w:rsidRPr="002B4A91">
        <w:rPr>
          <w:rFonts w:ascii="Calibri" w:hAnsi="Calibri"/>
          <w:sz w:val="22"/>
          <w:szCs w:val="22"/>
        </w:rPr>
        <w:t>Als weiteres Instrument sieht das Grundgesetz auch die Möglichkeit eines Parteien- und Vereinigungsverbots (Art. 21 GG und Art. 9 GG) oder gar die Aberkennung von Grundrechten (Art. 18 GG) vor.</w:t>
      </w:r>
      <w:r w:rsidRPr="002B4A91">
        <w:rPr>
          <w:rStyle w:val="Funotenzeichen"/>
          <w:rFonts w:ascii="Calibri" w:hAnsi="Calibri"/>
          <w:sz w:val="22"/>
          <w:szCs w:val="22"/>
        </w:rPr>
        <w:footnoteReference w:id="2"/>
      </w:r>
      <w:r w:rsidRPr="002B4A91">
        <w:rPr>
          <w:rFonts w:ascii="Calibri" w:hAnsi="Calibri"/>
          <w:sz w:val="22"/>
          <w:szCs w:val="22"/>
        </w:rPr>
        <w:t xml:space="preserve"> Bevor jedoch zu solch drastischen Mitteln gegriffen wird, sollte laut Bundesverfassungsgericht zunächst die geistige Auseinandersetzung aller als „wirksamste Waffe auch gegen die Verbreitung totalitärer und menschenverachtender Ideologien“</w:t>
      </w:r>
      <w:r w:rsidRPr="002B4A91">
        <w:rPr>
          <w:rStyle w:val="Funotenzeichen"/>
          <w:rFonts w:ascii="Calibri" w:hAnsi="Calibri"/>
          <w:sz w:val="22"/>
          <w:szCs w:val="22"/>
        </w:rPr>
        <w:footnoteReference w:id="3"/>
      </w:r>
      <w:r w:rsidRPr="002B4A91">
        <w:rPr>
          <w:rFonts w:ascii="Calibri" w:hAnsi="Calibri"/>
          <w:sz w:val="22"/>
          <w:szCs w:val="22"/>
        </w:rPr>
        <w:t xml:space="preserve"> eingesetzt werden. Eine solche Auseinandersetzung kann beispielsweise in Form einer Diskussion zwischen einzelnen oder mehreren Personen, im Parlament, im Wahlkampf, in den (sozialen) Medien oder über Demonstrationen stattfinde</w:t>
      </w:r>
      <w:r w:rsidR="001D6E1B" w:rsidRPr="002B4A91">
        <w:rPr>
          <w:rFonts w:ascii="Calibri" w:hAnsi="Calibri"/>
          <w:sz w:val="22"/>
          <w:szCs w:val="22"/>
        </w:rPr>
        <w:t>n.</w:t>
      </w:r>
      <w:r w:rsidR="00B16694" w:rsidRPr="002B4A91">
        <w:rPr>
          <w:rFonts w:ascii="Calibri" w:hAnsi="Calibri"/>
          <w:sz w:val="22"/>
          <w:szCs w:val="22"/>
        </w:rPr>
        <w:t xml:space="preserve"> Und generell gilt: Auch wenn Äußerungen nicht strafbar sind, sollten überschrittene Grenzen und rassistische, populistische oder unwahre</w:t>
      </w:r>
      <w:r w:rsidR="00790B51" w:rsidRPr="002B4A91">
        <w:rPr>
          <w:rFonts w:ascii="Calibri" w:hAnsi="Calibri"/>
          <w:sz w:val="22"/>
          <w:szCs w:val="22"/>
        </w:rPr>
        <w:t xml:space="preserve"> </w:t>
      </w:r>
      <w:r w:rsidR="00AA2A46" w:rsidRPr="002B4A91">
        <w:rPr>
          <w:rFonts w:ascii="Calibri" w:hAnsi="Calibri"/>
          <w:sz w:val="22"/>
          <w:szCs w:val="22"/>
        </w:rPr>
        <w:t>A</w:t>
      </w:r>
      <w:r w:rsidR="00790B51" w:rsidRPr="002B4A91">
        <w:rPr>
          <w:rFonts w:ascii="Calibri" w:hAnsi="Calibri"/>
          <w:sz w:val="22"/>
          <w:szCs w:val="22"/>
        </w:rPr>
        <w:t xml:space="preserve">ussagen auch </w:t>
      </w:r>
      <w:r w:rsidR="00F8597C" w:rsidRPr="002B4A91">
        <w:rPr>
          <w:rFonts w:ascii="Calibri" w:hAnsi="Calibri"/>
          <w:sz w:val="22"/>
          <w:szCs w:val="22"/>
        </w:rPr>
        <w:t xml:space="preserve">klar </w:t>
      </w:r>
      <w:r w:rsidR="00790B51" w:rsidRPr="002B4A91">
        <w:rPr>
          <w:rFonts w:ascii="Calibri" w:hAnsi="Calibri"/>
          <w:sz w:val="22"/>
          <w:szCs w:val="22"/>
        </w:rPr>
        <w:t>als solche benannt werden</w:t>
      </w:r>
      <w:r w:rsidR="00CE2BD1" w:rsidRPr="002B4A91">
        <w:rPr>
          <w:rFonts w:ascii="Calibri" w:hAnsi="Calibri"/>
          <w:sz w:val="22"/>
          <w:szCs w:val="22"/>
        </w:rPr>
        <w:t>.</w:t>
      </w:r>
    </w:p>
    <w:p w14:paraId="0C9C152B" w14:textId="77777777" w:rsidR="00987CE5" w:rsidRDefault="00987CE5" w:rsidP="00CE2BD1">
      <w:pPr>
        <w:rPr>
          <w:rFonts w:ascii="Calibri" w:hAnsi="Calibri"/>
        </w:rPr>
        <w:sectPr w:rsidR="00987CE5" w:rsidSect="002B4A91">
          <w:type w:val="continuous"/>
          <w:pgSz w:w="11906" w:h="16838"/>
          <w:pgMar w:top="1418" w:right="1418" w:bottom="1134" w:left="1418" w:header="709" w:footer="709" w:gutter="0"/>
          <w:cols w:space="708"/>
          <w:docGrid w:linePitch="360"/>
        </w:sectPr>
      </w:pPr>
    </w:p>
    <w:p w14:paraId="2522FEF7" w14:textId="0DF8BEB3" w:rsidR="002F580D" w:rsidRPr="00CE2BD1" w:rsidRDefault="002F580D" w:rsidP="00D16C7E">
      <w:pPr>
        <w:rPr>
          <w:rFonts w:ascii="Calibri" w:hAnsi="Calibri"/>
          <w:sz w:val="2"/>
          <w:szCs w:val="2"/>
        </w:rPr>
      </w:pPr>
    </w:p>
    <w:p w14:paraId="4EB3B887" w14:textId="77777777" w:rsidR="00970030" w:rsidRPr="00CE2BD1" w:rsidRDefault="00970030" w:rsidP="00D16C7E">
      <w:pPr>
        <w:rPr>
          <w:rFonts w:ascii="Calibri" w:hAnsi="Calibri"/>
          <w:b/>
          <w:bCs/>
          <w:sz w:val="26"/>
          <w:szCs w:val="26"/>
        </w:rPr>
        <w:sectPr w:rsidR="00970030" w:rsidRPr="00CE2BD1" w:rsidSect="00110EE4">
          <w:headerReference w:type="default" r:id="rId17"/>
          <w:type w:val="continuous"/>
          <w:pgSz w:w="11906" w:h="16838"/>
          <w:pgMar w:top="1417" w:right="1417" w:bottom="1134" w:left="1417" w:header="708" w:footer="708" w:gutter="0"/>
          <w:cols w:space="708"/>
          <w:docGrid w:linePitch="360"/>
        </w:sectPr>
      </w:pPr>
    </w:p>
    <w:p w14:paraId="31482F5E" w14:textId="45124940" w:rsidR="00110EE4" w:rsidRPr="00E16BDC" w:rsidRDefault="00970030" w:rsidP="00D16C7E">
      <w:pPr>
        <w:spacing w:after="240"/>
        <w:rPr>
          <w:rFonts w:ascii="Calibri" w:hAnsi="Calibri"/>
          <w:i/>
        </w:rPr>
      </w:pPr>
      <w:r w:rsidRPr="00E16BDC">
        <w:rPr>
          <w:rFonts w:ascii="Calibri" w:hAnsi="Calibri"/>
          <w:b/>
          <w:bCs/>
          <w:sz w:val="26"/>
          <w:szCs w:val="26"/>
        </w:rPr>
        <w:t>M</w:t>
      </w:r>
      <w:r w:rsidR="007956EB">
        <w:rPr>
          <w:rFonts w:ascii="Calibri" w:hAnsi="Calibri"/>
          <w:b/>
          <w:bCs/>
          <w:sz w:val="26"/>
          <w:szCs w:val="26"/>
        </w:rPr>
        <w:t>2</w:t>
      </w:r>
      <w:r w:rsidRPr="00E16BDC">
        <w:rPr>
          <w:rFonts w:ascii="Calibri" w:hAnsi="Calibri"/>
          <w:b/>
          <w:bCs/>
          <w:sz w:val="26"/>
          <w:szCs w:val="26"/>
        </w:rPr>
        <w:t xml:space="preserve"> – Wo die Grenzen des Sagbaren liegen</w:t>
      </w:r>
      <w:r w:rsidRPr="00E16BDC">
        <w:rPr>
          <w:rFonts w:ascii="Calibri" w:hAnsi="Calibri"/>
        </w:rPr>
        <w:t xml:space="preserve"> </w:t>
      </w:r>
      <w:r w:rsidRPr="00E16BDC">
        <w:rPr>
          <w:rFonts w:ascii="Calibri" w:hAnsi="Calibri"/>
          <w:i/>
        </w:rPr>
        <w:t>von Ingeborg Br</w:t>
      </w:r>
      <w:r w:rsidR="002B4A91">
        <w:rPr>
          <w:rFonts w:ascii="Calibri" w:hAnsi="Calibri"/>
          <w:i/>
        </w:rPr>
        <w:t>eu</w:t>
      </w:r>
      <w:r w:rsidRPr="00E16BDC">
        <w:rPr>
          <w:rFonts w:ascii="Calibri" w:hAnsi="Calibri"/>
          <w:i/>
        </w:rPr>
        <w:t>er</w:t>
      </w:r>
    </w:p>
    <w:p w14:paraId="4FED3AFA" w14:textId="2C6F1714" w:rsidR="00970030" w:rsidRDefault="00970030" w:rsidP="007E0F31">
      <w:pPr>
        <w:pStyle w:val="Untertitel1"/>
        <w:spacing w:before="0" w:beforeAutospacing="0" w:after="0" w:afterAutospacing="0"/>
        <w:rPr>
          <w:rFonts w:ascii="Calibri" w:hAnsi="Calibri"/>
          <w:i/>
          <w:iCs/>
          <w:sz w:val="22"/>
          <w:szCs w:val="22"/>
        </w:rPr>
      </w:pPr>
      <w:r w:rsidRPr="00D16C7E">
        <w:rPr>
          <w:rFonts w:ascii="Calibri" w:hAnsi="Calibri"/>
          <w:i/>
          <w:iCs/>
          <w:sz w:val="22"/>
          <w:szCs w:val="22"/>
        </w:rPr>
        <w:t>Angesichts rechtspopulistischer Provokationen ist eine Debatte darüber entflammt, wo die Grenzen der Meinungsfreiheit liegen</w:t>
      </w:r>
      <w:r w:rsidR="00BA3485" w:rsidRPr="00D16C7E">
        <w:rPr>
          <w:rFonts w:ascii="Calibri" w:hAnsi="Calibri"/>
          <w:i/>
          <w:iCs/>
          <w:sz w:val="22"/>
          <w:szCs w:val="22"/>
        </w:rPr>
        <w:t xml:space="preserve">. Oder wird der Begriff „Rechtspopulismus“ selbst zu einer Keule, um politisch inkorrekte Meinungen zu unterdrücken? </w:t>
      </w:r>
      <w:r w:rsidRPr="00D16C7E">
        <w:rPr>
          <w:rFonts w:ascii="Calibri" w:hAnsi="Calibri"/>
          <w:i/>
          <w:iCs/>
          <w:sz w:val="22"/>
          <w:szCs w:val="22"/>
        </w:rPr>
        <w:t xml:space="preserve">Eine Diskussion um die Grenze des Sagbaren. </w:t>
      </w:r>
    </w:p>
    <w:p w14:paraId="3CD514DC" w14:textId="77777777" w:rsidR="00D16C7E" w:rsidRDefault="00D16C7E" w:rsidP="007E0F31">
      <w:pPr>
        <w:pStyle w:val="Untertitel1"/>
        <w:spacing w:before="0" w:beforeAutospacing="0" w:after="0" w:afterAutospacing="0"/>
        <w:rPr>
          <w:rFonts w:ascii="Calibri" w:hAnsi="Calibri"/>
          <w:i/>
          <w:iCs/>
          <w:sz w:val="22"/>
          <w:szCs w:val="22"/>
        </w:rPr>
      </w:pPr>
    </w:p>
    <w:p w14:paraId="226CCE51" w14:textId="558E1769" w:rsidR="00D16C7E" w:rsidRDefault="00D16C7E" w:rsidP="007E0F31">
      <w:pPr>
        <w:pStyle w:val="Untertitel1"/>
        <w:spacing w:before="0" w:beforeAutospacing="0" w:after="0" w:afterAutospacing="0"/>
        <w:rPr>
          <w:rFonts w:ascii="Calibri" w:hAnsi="Calibri"/>
          <w:sz w:val="22"/>
          <w:szCs w:val="22"/>
        </w:rPr>
      </w:pPr>
      <w:r>
        <w:rPr>
          <w:rFonts w:ascii="Calibri" w:hAnsi="Calibri"/>
          <w:sz w:val="22"/>
          <w:szCs w:val="22"/>
        </w:rPr>
        <w:t>[…]</w:t>
      </w:r>
    </w:p>
    <w:p w14:paraId="4724E8AB" w14:textId="77777777" w:rsidR="00D16C7E" w:rsidRPr="00D16C7E" w:rsidRDefault="00D16C7E" w:rsidP="007E0F31">
      <w:pPr>
        <w:pStyle w:val="Untertitel1"/>
        <w:spacing w:before="0" w:beforeAutospacing="0" w:after="0" w:afterAutospacing="0"/>
        <w:rPr>
          <w:rFonts w:ascii="Calibri" w:hAnsi="Calibri"/>
          <w:sz w:val="22"/>
          <w:szCs w:val="22"/>
        </w:rPr>
      </w:pPr>
    </w:p>
    <w:p w14:paraId="345525F6" w14:textId="77777777" w:rsidR="007E0F31" w:rsidRDefault="00970030" w:rsidP="007E0F31">
      <w:pPr>
        <w:pStyle w:val="StandardWeb"/>
        <w:spacing w:before="0" w:beforeAutospacing="0" w:after="0" w:afterAutospacing="0"/>
        <w:rPr>
          <w:rStyle w:val="Fett"/>
          <w:rFonts w:ascii="Calibri" w:hAnsi="Calibri"/>
          <w:color w:val="000000" w:themeColor="text1"/>
          <w:sz w:val="22"/>
          <w:szCs w:val="22"/>
        </w:rPr>
      </w:pPr>
      <w:r w:rsidRPr="00D16C7E">
        <w:rPr>
          <w:rStyle w:val="Fett"/>
          <w:rFonts w:ascii="Calibri" w:hAnsi="Calibri"/>
          <w:color w:val="000000" w:themeColor="text1"/>
          <w:sz w:val="22"/>
          <w:szCs w:val="22"/>
        </w:rPr>
        <w:t>Meinungsfreiheit als wichtiger Maßstab für den Zustand einer Demokratie</w:t>
      </w:r>
    </w:p>
    <w:p w14:paraId="508BF0E6" w14:textId="419E194C"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Die Meinungsfreiheit ist ein Menschenrecht und gilt heute als wichtiger Maßstab für den Zustand einer Demokratie. Im Artikel 5, Absatz 1 des Grundgesetzes heißt es: „Jeder hat das Recht, seine Meinung in Wort, Schrift und Bild frei zu äußern und zu verbreiten und sich aus allgemein zugänglichen Quellen ungehindert zu unterrichten. Eine Zensur findet nicht statt.“</w:t>
      </w:r>
      <w:r>
        <w:rPr>
          <w:rFonts w:ascii="Calibri" w:hAnsi="Calibri"/>
          <w:sz w:val="22"/>
          <w:szCs w:val="22"/>
        </w:rPr>
        <w:t xml:space="preserve"> </w:t>
      </w:r>
    </w:p>
    <w:p w14:paraId="26678588" w14:textId="65D87B91"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Dieses Recht gilt für die – vorwiegend anonymen – Meinungsäußerungen im Netz ebenso wie für die mittels traditioneller Medien. Nicht vom Grundgesetz geschützt sind allerdings Meinungen, die andere beleidigen oder zu einer Straftat aufrufen. Und erst recht nicht antisemitische, fremdenfeindliche oder sexistische Hetzparolen in Online-Foren. […]</w:t>
      </w:r>
    </w:p>
    <w:p w14:paraId="3D0964DC" w14:textId="77777777" w:rsidR="00D16C7E" w:rsidRPr="00D16C7E" w:rsidRDefault="00D16C7E" w:rsidP="007E0F31">
      <w:pPr>
        <w:pStyle w:val="StandardWeb"/>
        <w:spacing w:before="0" w:beforeAutospacing="0" w:after="0" w:afterAutospacing="0"/>
        <w:rPr>
          <w:rFonts w:ascii="Calibri" w:hAnsi="Calibri"/>
          <w:sz w:val="22"/>
          <w:szCs w:val="22"/>
        </w:rPr>
      </w:pPr>
    </w:p>
    <w:p w14:paraId="2D085314" w14:textId="77777777" w:rsidR="007E0F31" w:rsidRDefault="00970030" w:rsidP="007E0F31">
      <w:pPr>
        <w:pStyle w:val="StandardWeb"/>
        <w:spacing w:before="0" w:beforeAutospacing="0" w:after="0" w:afterAutospacing="0"/>
        <w:rPr>
          <w:rStyle w:val="Fett"/>
          <w:rFonts w:ascii="Calibri" w:hAnsi="Calibri"/>
          <w:color w:val="000000" w:themeColor="text1"/>
          <w:sz w:val="22"/>
          <w:szCs w:val="22"/>
        </w:rPr>
      </w:pPr>
      <w:r w:rsidRPr="00D16C7E">
        <w:rPr>
          <w:rStyle w:val="Fett"/>
          <w:rFonts w:ascii="Calibri" w:hAnsi="Calibri"/>
          <w:color w:val="000000" w:themeColor="text1"/>
          <w:sz w:val="22"/>
          <w:szCs w:val="22"/>
        </w:rPr>
        <w:t>Vor allem politisch rechte Bürger sehen Meinungsfreiheit bedroht</w:t>
      </w:r>
    </w:p>
    <w:p w14:paraId="3B985553" w14:textId="1BD97CC4"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 xml:space="preserve">Der Soziologe Dr. Kai Unzicker von der Bertelsmann Stiftung in Gütersloh bestätigt, dass in manchen Bevölkerungsgruppen das Vertrauen in die Meinungsfreiheit wankt: „Im Jahr 2017 haben wir zum Thema gesellschaftlicher Zusammenhalt in Deutschland 5.000 Menschen befragt. Und wir haben eine Frage mit reingenommen, ob die Menschen der Meinung sind, man dürfe in Deutschland nicht mehr offen seine Meinung sagen. […] Was mich schon überrascht hat ist, dass fast jeder Fünfte in der </w:t>
      </w:r>
      <w:r w:rsidR="007E0F31">
        <w:rPr>
          <w:rFonts w:ascii="Calibri" w:hAnsi="Calibri"/>
          <w:sz w:val="22"/>
          <w:szCs w:val="22"/>
        </w:rPr>
        <w:t xml:space="preserve">  </w:t>
      </w:r>
      <w:r w:rsidRPr="00D16C7E">
        <w:rPr>
          <w:rFonts w:ascii="Calibri" w:hAnsi="Calibri"/>
          <w:sz w:val="22"/>
          <w:szCs w:val="22"/>
        </w:rPr>
        <w:t xml:space="preserve">Tendenz dem zustimmt, ja das kann schon sein, dem stimme ich zu und das ist schon ein </w:t>
      </w:r>
      <w:proofErr w:type="gramStart"/>
      <w:r w:rsidRPr="00D16C7E">
        <w:rPr>
          <w:rFonts w:ascii="Calibri" w:hAnsi="Calibri"/>
          <w:sz w:val="22"/>
          <w:szCs w:val="22"/>
        </w:rPr>
        <w:t>starkes</w:t>
      </w:r>
      <w:r w:rsidR="007E0F31">
        <w:rPr>
          <w:rFonts w:ascii="Calibri" w:hAnsi="Calibri"/>
          <w:sz w:val="22"/>
          <w:szCs w:val="22"/>
        </w:rPr>
        <w:t xml:space="preserve"> </w:t>
      </w:r>
      <w:r w:rsidRPr="00D16C7E">
        <w:rPr>
          <w:rFonts w:ascii="Calibri" w:hAnsi="Calibri"/>
          <w:sz w:val="22"/>
          <w:szCs w:val="22"/>
        </w:rPr>
        <w:t xml:space="preserve"> Ergebnis</w:t>
      </w:r>
      <w:proofErr w:type="gramEnd"/>
      <w:r w:rsidRPr="00D16C7E">
        <w:rPr>
          <w:rFonts w:ascii="Calibri" w:hAnsi="Calibri"/>
          <w:sz w:val="22"/>
          <w:szCs w:val="22"/>
        </w:rPr>
        <w:t>.“</w:t>
      </w:r>
    </w:p>
    <w:p w14:paraId="6D308838" w14:textId="77777777"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 xml:space="preserve">Es seien eher die sozial schlechter Gestellten, die Zweifel an der freien Meinungsäußerung hätten. Und vor allem: „Zeigt sich ganz deutlich, dass unter der Gruppe in Deutschland, die sich </w:t>
      </w:r>
      <w:proofErr w:type="gramStart"/>
      <w:r w:rsidRPr="00D16C7E">
        <w:rPr>
          <w:rFonts w:ascii="Calibri" w:hAnsi="Calibri"/>
          <w:sz w:val="22"/>
          <w:szCs w:val="22"/>
        </w:rPr>
        <w:t>selber</w:t>
      </w:r>
      <w:proofErr w:type="gramEnd"/>
      <w:r w:rsidRPr="00D16C7E">
        <w:rPr>
          <w:rFonts w:ascii="Calibri" w:hAnsi="Calibri"/>
          <w:sz w:val="22"/>
          <w:szCs w:val="22"/>
        </w:rPr>
        <w:t xml:space="preserve"> als politisch rechts bezeichnen, der Anteil deutlich höher ist. […]“</w:t>
      </w:r>
      <w:r>
        <w:rPr>
          <w:rFonts w:ascii="Calibri" w:hAnsi="Calibri"/>
          <w:sz w:val="22"/>
          <w:szCs w:val="22"/>
        </w:rPr>
        <w:t xml:space="preserve"> </w:t>
      </w:r>
    </w:p>
    <w:p w14:paraId="05198354" w14:textId="602AF755" w:rsidR="00D16C7E" w:rsidRP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Kai Unzicker hält dieses Urteil für falsch. […] Mittlerweile [sei] nahezu alles sagbar, schrieb er in einem Blog-Beitrag, egal wie rassistisch, menschenverachtend oder geschichtsvergessen es sei. Und dass darauf Proteste und Widerstand folgten, sei durchaus wünschenswert. „[…] Und vor dem Hintergrund ist die Aussage, man darf nicht drüber reden, das wirkt schief.“</w:t>
      </w:r>
    </w:p>
    <w:p w14:paraId="7355FF4C" w14:textId="3ECFD9E0" w:rsidR="00970030" w:rsidRPr="00E16BDC" w:rsidRDefault="00970030" w:rsidP="007E0F31">
      <w:pPr>
        <w:pStyle w:val="StandardWeb"/>
        <w:spacing w:before="0" w:beforeAutospacing="0" w:after="0" w:afterAutospacing="0"/>
        <w:rPr>
          <w:rFonts w:ascii="Calibri" w:hAnsi="Calibri"/>
          <w:sz w:val="22"/>
          <w:szCs w:val="22"/>
        </w:rPr>
      </w:pPr>
    </w:p>
    <w:p w14:paraId="72074F9A" w14:textId="77777777" w:rsidR="007E0F31" w:rsidRDefault="00970030" w:rsidP="007E0F31">
      <w:pPr>
        <w:pStyle w:val="StandardWeb"/>
        <w:spacing w:before="0" w:beforeAutospacing="0" w:after="0" w:afterAutospacing="0"/>
        <w:rPr>
          <w:rStyle w:val="Fett"/>
          <w:rFonts w:ascii="Calibri" w:hAnsi="Calibri"/>
          <w:color w:val="000000" w:themeColor="text1"/>
          <w:sz w:val="22"/>
          <w:szCs w:val="22"/>
        </w:rPr>
      </w:pPr>
      <w:r w:rsidRPr="00D16C7E">
        <w:rPr>
          <w:rStyle w:val="Fett"/>
          <w:rFonts w:ascii="Calibri" w:hAnsi="Calibri"/>
          <w:color w:val="000000" w:themeColor="text1"/>
          <w:sz w:val="22"/>
          <w:szCs w:val="22"/>
        </w:rPr>
        <w:t>Moralisierung politischer Diskurse</w:t>
      </w:r>
    </w:p>
    <w:p w14:paraId="671BA563" w14:textId="6E7FEF3E"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 xml:space="preserve">[…] Und dennoch sei auch die andere Seite oftmals von einem „moralischen Absolutismus“ getrieben, so der emeritierte Professor für Politikwissenschaft Peter Graf von </w:t>
      </w:r>
      <w:proofErr w:type="spellStart"/>
      <w:r w:rsidRPr="00D16C7E">
        <w:rPr>
          <w:rFonts w:ascii="Calibri" w:hAnsi="Calibri"/>
          <w:sz w:val="22"/>
          <w:szCs w:val="22"/>
        </w:rPr>
        <w:t>Kielmannsegg</w:t>
      </w:r>
      <w:proofErr w:type="spellEnd"/>
      <w:r w:rsidRPr="00D16C7E">
        <w:rPr>
          <w:rFonts w:ascii="Calibri" w:hAnsi="Calibri"/>
          <w:sz w:val="22"/>
          <w:szCs w:val="22"/>
        </w:rPr>
        <w:t xml:space="preserve"> unlängst in der „FAZ“. Die „Sprache der Mitte“ sei da kaum mehr durchsetzbar. Ein Beispiel dafür könnte sein, als im Juli 2018 die „ZEIT“ zwei Artikel über das Pro und Contra der Seenotrettung durch private Hilfsorganisationen veröffentlichte.</w:t>
      </w:r>
      <w:r>
        <w:rPr>
          <w:rFonts w:ascii="Calibri" w:hAnsi="Calibri"/>
          <w:sz w:val="22"/>
          <w:szCs w:val="22"/>
        </w:rPr>
        <w:t xml:space="preserve"> </w:t>
      </w:r>
    </w:p>
    <w:p w14:paraId="7B3E76DF" w14:textId="60CB0214" w:rsidR="00D16C7E" w:rsidRP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Unter dem Titel „Oder soll man es lassen?“ veröffentlichte die Autorin Mariam Lau die Dilemmata der privaten Seenotrettung, die längst zum Teil des Geschäftsmodells der Schlepper geworden sei. Ein Shitstorm brach über Mariam Lau herein, mit der Unterstellung, sie wolle die Menschen wohl sterben lassen. Die Chefredaktion ruderte zurück und entschuldigte sich.</w:t>
      </w:r>
    </w:p>
    <w:p w14:paraId="2663452B" w14:textId="77777777" w:rsidR="00D16C7E" w:rsidRP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Für den Philosophen und Autor Alexander Grau veranschaulicht das den „Tonfall hochgeschraubter Moralität“ in den aktuellen gesellschaftlichen Debatten. […] Zustimmung findet Graus These von einer Moralisierung der politischen Diskurse auch bei Wolfgang Merkel von der Humboldt-Universität Berlin. Es gebe, so der Professor für Politische Wissenschaft, eine neue gesellschaftliche Spaltung. […] „Dann wird der Opponent häufig zum Feind und er wird als moralisch nicht zulässig erklärt, sondern das sind die Rassisten, die Fremdenfeinde, das sind die Sexisten. In dem Moment schließe ich die anderen aus dem Diskurs aus.“</w:t>
      </w:r>
    </w:p>
    <w:p w14:paraId="2E6CF179" w14:textId="77777777" w:rsidR="00D16C7E" w:rsidRDefault="00D16C7E" w:rsidP="007E0F31">
      <w:pPr>
        <w:pStyle w:val="StandardWeb"/>
        <w:spacing w:before="0" w:beforeAutospacing="0" w:after="0" w:afterAutospacing="0"/>
        <w:rPr>
          <w:rFonts w:asciiTheme="minorHAnsi" w:hAnsiTheme="minorHAnsi" w:cstheme="minorHAnsi"/>
        </w:rPr>
      </w:pPr>
      <w:r w:rsidRPr="00D16C7E">
        <w:rPr>
          <w:rFonts w:ascii="Calibri" w:hAnsi="Calibri"/>
          <w:sz w:val="22"/>
          <w:szCs w:val="22"/>
        </w:rPr>
        <w:lastRenderedPageBreak/>
        <w:t xml:space="preserve">Die ‚Unmoralischen‘ aus dem Diskurs auszuschließen, hatte wohl auch die Autorin Margarete Stokowski im Sinn, als sie ihre bereits ausverkaufte Lesung in einer Münchener Buchhandlung absagte. In den Regalen der Buchhandlung waren unter der Rubrik „Neue Rechte, altes Denken“ Bücher der neuen Rechten ausgestellt. Man könne sich über deren Positionen </w:t>
      </w:r>
      <w:proofErr w:type="gramStart"/>
      <w:r w:rsidRPr="00D16C7E">
        <w:rPr>
          <w:rFonts w:ascii="Calibri" w:hAnsi="Calibri"/>
          <w:sz w:val="22"/>
          <w:szCs w:val="22"/>
        </w:rPr>
        <w:t>durchaus auch</w:t>
      </w:r>
      <w:proofErr w:type="gramEnd"/>
      <w:r w:rsidRPr="00D16C7E">
        <w:rPr>
          <w:rFonts w:ascii="Calibri" w:hAnsi="Calibri"/>
          <w:sz w:val="22"/>
          <w:szCs w:val="22"/>
        </w:rPr>
        <w:t xml:space="preserve"> in Bibliotheken und Archiven informieren, müsse aber deren Bücher nicht unbedingt aktiv zum Verkauf anbieten, so Stokowski.</w:t>
      </w:r>
      <w:r w:rsidRPr="00D16C7E">
        <w:rPr>
          <w:rFonts w:asciiTheme="minorHAnsi" w:hAnsiTheme="minorHAnsi" w:cstheme="minorHAnsi"/>
        </w:rPr>
        <w:t xml:space="preserve"> </w:t>
      </w:r>
    </w:p>
    <w:p w14:paraId="3B75F633" w14:textId="77777777" w:rsidR="00D16C7E" w:rsidRDefault="00D16C7E" w:rsidP="007E0F31">
      <w:pPr>
        <w:pStyle w:val="StandardWeb"/>
        <w:spacing w:before="0" w:beforeAutospacing="0" w:after="0" w:afterAutospacing="0"/>
        <w:rPr>
          <w:rFonts w:ascii="Calibri" w:hAnsi="Calibri"/>
          <w:sz w:val="22"/>
          <w:szCs w:val="22"/>
        </w:rPr>
      </w:pPr>
    </w:p>
    <w:p w14:paraId="361CB9A3" w14:textId="3061C30F" w:rsidR="00D16C7E" w:rsidRP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w:t>
      </w:r>
      <w:r>
        <w:rPr>
          <w:rFonts w:ascii="Calibri" w:hAnsi="Calibri"/>
          <w:sz w:val="22"/>
          <w:szCs w:val="22"/>
        </w:rPr>
        <w:t xml:space="preserve"> </w:t>
      </w:r>
      <w:r w:rsidRPr="00D16C7E">
        <w:rPr>
          <w:rFonts w:ascii="Calibri" w:hAnsi="Calibri"/>
          <w:sz w:val="22"/>
          <w:szCs w:val="22"/>
        </w:rPr>
        <w:t xml:space="preserve">Seit dem „Flüchtlingsschock“, so Peter Graf von </w:t>
      </w:r>
      <w:proofErr w:type="spellStart"/>
      <w:r w:rsidRPr="00D16C7E">
        <w:rPr>
          <w:rFonts w:ascii="Calibri" w:hAnsi="Calibri"/>
          <w:sz w:val="22"/>
          <w:szCs w:val="22"/>
        </w:rPr>
        <w:t>Kielmannsegg</w:t>
      </w:r>
      <w:proofErr w:type="spellEnd"/>
      <w:r w:rsidRPr="00D16C7E">
        <w:rPr>
          <w:rFonts w:ascii="Calibri" w:hAnsi="Calibri"/>
          <w:sz w:val="22"/>
          <w:szCs w:val="22"/>
        </w:rPr>
        <w:t>, habe sich die politische Auseinandersetzung in der Bundesrepublik polarisiert wie kaum je zuvor. Erstmals seit Jahrzehnten, so Alexander Grau, seien in der öffentlichen Meinung wieder deutlich hörbar konservative, ja rechte Diskurse zu vernehmen. „Man ist das gar nicht mehr gewohnt und plötzlich ist man ganz schockiert, dass das wieder</w:t>
      </w:r>
      <w:r w:rsidR="003E4080">
        <w:rPr>
          <w:rFonts w:ascii="Calibri" w:hAnsi="Calibri"/>
          <w:sz w:val="22"/>
          <w:szCs w:val="22"/>
        </w:rPr>
        <w:t xml:space="preserve"> </w:t>
      </w:r>
      <w:r w:rsidRPr="00D16C7E">
        <w:rPr>
          <w:rFonts w:ascii="Calibri" w:hAnsi="Calibri"/>
          <w:sz w:val="22"/>
          <w:szCs w:val="22"/>
        </w:rPr>
        <w:t>auftaucht und sucht jetzt nach einem Umgang damit. Aber es gehört zur demokratischen Kompetenz dazu, dass man das wieder lernt und dass man toleriert, dass es diese konservativen Diskurse gibt und dass man sich mit ihnen auseinandersetzt.“</w:t>
      </w:r>
    </w:p>
    <w:p w14:paraId="5F3BE4DE" w14:textId="77777777" w:rsidR="00D16C7E" w:rsidRPr="00D16C7E" w:rsidRDefault="00D16C7E" w:rsidP="007E0F31">
      <w:pPr>
        <w:pStyle w:val="StandardWeb"/>
        <w:spacing w:before="0" w:beforeAutospacing="0" w:after="0" w:afterAutospacing="0"/>
        <w:rPr>
          <w:rFonts w:ascii="Calibri" w:hAnsi="Calibri"/>
          <w:sz w:val="22"/>
          <w:szCs w:val="22"/>
        </w:rPr>
      </w:pPr>
    </w:p>
    <w:p w14:paraId="43D97140" w14:textId="77777777" w:rsidR="007E0F31" w:rsidRDefault="00970030" w:rsidP="007E0F31">
      <w:pPr>
        <w:pStyle w:val="StandardWeb"/>
        <w:spacing w:before="0" w:beforeAutospacing="0" w:after="0" w:afterAutospacing="0"/>
        <w:rPr>
          <w:rStyle w:val="Fett"/>
          <w:rFonts w:ascii="Calibri" w:hAnsi="Calibri"/>
          <w:color w:val="000000" w:themeColor="text1"/>
          <w:sz w:val="22"/>
          <w:szCs w:val="22"/>
        </w:rPr>
      </w:pPr>
      <w:r w:rsidRPr="00D16C7E">
        <w:rPr>
          <w:rStyle w:val="Fett"/>
          <w:rFonts w:ascii="Calibri" w:hAnsi="Calibri"/>
          <w:color w:val="000000" w:themeColor="text1"/>
          <w:sz w:val="22"/>
          <w:szCs w:val="22"/>
        </w:rPr>
        <w:t>Wie umgehen mit den neuen Rechten</w:t>
      </w:r>
    </w:p>
    <w:p w14:paraId="1B6C904B" w14:textId="07DA8C7B" w:rsidR="00D16C7E" w:rsidRPr="00D16C7E"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Zur Auseinandersetzung fordert auch Wolfgang Merkel auf. Denn eine Demokratie müsse möglichst alle repräsentieren. Auch jene, die den Brexit richtig, Homosexualität problematisch oder den Islam gefährlich finden. Und auch jene, die die Grenzen der politischen Korrektheit überschritten: „Ich glaube, dass das eine Gratwanderung ist. Aber wenn wir uns nicht mit solchen Positionen auseinandersetzen, dann ist das ein Hochmut der kulturellen Eliten, der nur der anderen Seite hilft, die das dann radikal, vulgär und manchmal auf fremdenfeindlich oder rassistisch formuliert.“</w:t>
      </w:r>
    </w:p>
    <w:p w14:paraId="2EE858DA" w14:textId="79CFE284" w:rsidR="00D16C7E" w:rsidRPr="00D16C7E"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 xml:space="preserve">Zweifellos ist es in den letzten Jahren zu einer Radikalisierung und </w:t>
      </w:r>
      <w:r w:rsidRPr="00D16C7E">
        <w:rPr>
          <w:rFonts w:ascii="Calibri" w:hAnsi="Calibri"/>
          <w:b/>
          <w:bCs/>
          <w:sz w:val="22"/>
          <w:szCs w:val="22"/>
        </w:rPr>
        <w:t>Vulgarisierung</w:t>
      </w:r>
      <w:r w:rsidR="00F16D4E">
        <w:rPr>
          <w:rFonts w:ascii="Calibri" w:hAnsi="Calibri"/>
          <w:sz w:val="22"/>
          <w:szCs w:val="22"/>
        </w:rPr>
        <w:t>*</w:t>
      </w:r>
      <w:r w:rsidRPr="00D16C7E">
        <w:rPr>
          <w:rFonts w:ascii="Calibri" w:hAnsi="Calibri"/>
          <w:sz w:val="22"/>
          <w:szCs w:val="22"/>
        </w:rPr>
        <w:t xml:space="preserve"> des politischen Diskurses gekommen. […] Wie also reagieren? […] Drei Vorschläge:</w:t>
      </w:r>
    </w:p>
    <w:p w14:paraId="22A5613D" w14:textId="74259782" w:rsidR="00D16C7E" w:rsidRPr="00D16C7E"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 xml:space="preserve">„Ich persönlich habe da eine ganz liberale Position, natürlich darf man sich unappetitlich äußern. Das muss man dann benennen, sagen, meiner Meinung nach ist das unappetitlich. Aber ich glaube, es ist nicht gut, wenn wir zu </w:t>
      </w:r>
      <w:r w:rsidRPr="00D16C7E">
        <w:rPr>
          <w:rFonts w:ascii="Calibri" w:hAnsi="Calibri"/>
          <w:b/>
          <w:bCs/>
          <w:sz w:val="22"/>
          <w:szCs w:val="22"/>
        </w:rPr>
        <w:t>puritanisch</w:t>
      </w:r>
      <w:r w:rsidR="00F16D4E">
        <w:rPr>
          <w:rFonts w:ascii="Calibri" w:hAnsi="Calibri"/>
          <w:sz w:val="22"/>
          <w:szCs w:val="22"/>
        </w:rPr>
        <w:t>*</w:t>
      </w:r>
      <w:r w:rsidRPr="00D16C7E">
        <w:rPr>
          <w:rFonts w:ascii="Calibri" w:hAnsi="Calibri"/>
          <w:sz w:val="22"/>
          <w:szCs w:val="22"/>
        </w:rPr>
        <w:t xml:space="preserve"> an diese Themen rangehen, weil das demokratiegefährdend werden kann.“ (Alexander Grau</w:t>
      </w:r>
      <w:r w:rsidR="002E1829">
        <w:rPr>
          <w:rFonts w:ascii="Calibri" w:hAnsi="Calibri"/>
          <w:sz w:val="22"/>
          <w:szCs w:val="22"/>
        </w:rPr>
        <w:t xml:space="preserve">, </w:t>
      </w:r>
      <w:r w:rsidR="002E1829" w:rsidRPr="002E1829">
        <w:rPr>
          <w:rFonts w:ascii="Calibri" w:hAnsi="Calibri"/>
          <w:sz w:val="22"/>
          <w:szCs w:val="22"/>
        </w:rPr>
        <w:t>Philosoph und Autor</w:t>
      </w:r>
      <w:r w:rsidRPr="00D16C7E">
        <w:rPr>
          <w:rFonts w:ascii="Calibri" w:hAnsi="Calibri"/>
          <w:sz w:val="22"/>
          <w:szCs w:val="22"/>
        </w:rPr>
        <w:t>)</w:t>
      </w:r>
    </w:p>
    <w:p w14:paraId="3D9023EC" w14:textId="29E14760" w:rsidR="00D16C7E" w:rsidRPr="00D16C7E"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„Ich glaube, das mag etwas idealistisch klingen, an den Diskurs. Das heißt, ich glaube nicht, dass man Provokateure jemals erreichen wird durch Totschweigen oder mit der Keule.“ (Ingo von Münch</w:t>
      </w:r>
      <w:r w:rsidR="002E1829">
        <w:rPr>
          <w:rFonts w:ascii="Calibri" w:hAnsi="Calibri"/>
          <w:sz w:val="22"/>
          <w:szCs w:val="22"/>
        </w:rPr>
        <w:t xml:space="preserve">, </w:t>
      </w:r>
      <w:r w:rsidR="002E1829" w:rsidRPr="002E1829">
        <w:rPr>
          <w:rFonts w:ascii="Calibri" w:hAnsi="Calibri"/>
          <w:sz w:val="22"/>
          <w:szCs w:val="22"/>
        </w:rPr>
        <w:t>emeritierter Professor für Staats- und Völkerrecht</w:t>
      </w:r>
      <w:r w:rsidRPr="00D16C7E">
        <w:rPr>
          <w:rFonts w:ascii="Calibri" w:hAnsi="Calibri"/>
          <w:sz w:val="22"/>
          <w:szCs w:val="22"/>
        </w:rPr>
        <w:t>)</w:t>
      </w:r>
    </w:p>
    <w:p w14:paraId="0E567FBF" w14:textId="053AA3A5" w:rsidR="00C25667"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 xml:space="preserve">„Ich gebe zu, ich habe da keine völlig klare Linie. Da brauchen wir eine bestimmte Sensibilität, ob wir es mit den </w:t>
      </w:r>
      <w:proofErr w:type="spellStart"/>
      <w:r w:rsidRPr="00D16C7E">
        <w:rPr>
          <w:rFonts w:ascii="Calibri" w:hAnsi="Calibri"/>
          <w:sz w:val="22"/>
          <w:szCs w:val="22"/>
        </w:rPr>
        <w:t>Verschärfern</w:t>
      </w:r>
      <w:proofErr w:type="spellEnd"/>
      <w:r w:rsidRPr="00D16C7E">
        <w:rPr>
          <w:rFonts w:ascii="Calibri" w:hAnsi="Calibri"/>
          <w:sz w:val="22"/>
          <w:szCs w:val="22"/>
        </w:rPr>
        <w:t xml:space="preserve"> der Debatte oder ob wir es mit Mitläufern oder Protestwählern zu tun haben. Wenn wir das nicht tun, dann schieben wir alle Protestwähler wirklich in dieses sehr rechte Lager und das kann der Demokratie nicht dienen.“ (Wolfgang Merkel</w:t>
      </w:r>
      <w:r w:rsidR="002E1829">
        <w:rPr>
          <w:rFonts w:ascii="Calibri" w:hAnsi="Calibri"/>
          <w:sz w:val="22"/>
          <w:szCs w:val="22"/>
        </w:rPr>
        <w:t xml:space="preserve">, </w:t>
      </w:r>
      <w:r w:rsidR="002E1829" w:rsidRPr="002E1829">
        <w:rPr>
          <w:rFonts w:ascii="Calibri" w:hAnsi="Calibri"/>
          <w:sz w:val="22"/>
          <w:szCs w:val="22"/>
        </w:rPr>
        <w:t>Professor für Politische Wissenschaft</w:t>
      </w:r>
      <w:r w:rsidRPr="00D16C7E">
        <w:rPr>
          <w:rFonts w:ascii="Calibri" w:hAnsi="Calibri"/>
          <w:sz w:val="22"/>
          <w:szCs w:val="22"/>
        </w:rPr>
        <w:t>)</w:t>
      </w:r>
    </w:p>
    <w:p w14:paraId="07E38BF5" w14:textId="744AEF6B" w:rsidR="00C25667" w:rsidRDefault="00F16D4E" w:rsidP="008467CA">
      <w:pPr>
        <w:pStyle w:val="StandardWeb"/>
        <w:jc w:val="left"/>
        <w:rPr>
          <w:rFonts w:ascii="Calibri" w:hAnsi="Calibri"/>
          <w:sz w:val="22"/>
          <w:szCs w:val="22"/>
        </w:rPr>
      </w:pPr>
      <w:r w:rsidRPr="00D16C7E">
        <w:rPr>
          <w:rFonts w:ascii="Calibri" w:hAnsi="Calibri"/>
          <w:b/>
          <w:bCs/>
          <w:noProof/>
          <w:color w:val="000000" w:themeColor="text1"/>
          <w:sz w:val="22"/>
          <w:szCs w:val="22"/>
        </w:rPr>
        <mc:AlternateContent>
          <mc:Choice Requires="wps">
            <w:drawing>
              <wp:anchor distT="0" distB="0" distL="114300" distR="114300" simplePos="0" relativeHeight="251686912" behindDoc="1" locked="0" layoutInCell="1" allowOverlap="1" wp14:anchorId="3140E849" wp14:editId="327E986D">
                <wp:simplePos x="0" y="0"/>
                <wp:positionH relativeFrom="page">
                  <wp:posOffset>3510915</wp:posOffset>
                </wp:positionH>
                <wp:positionV relativeFrom="paragraph">
                  <wp:posOffset>246644</wp:posOffset>
                </wp:positionV>
                <wp:extent cx="3138170" cy="791210"/>
                <wp:effectExtent l="12700" t="12700" r="11430" b="8890"/>
                <wp:wrapTight wrapText="bothSides">
                  <wp:wrapPolygon edited="0">
                    <wp:start x="-87" y="-347"/>
                    <wp:lineTo x="-87" y="21496"/>
                    <wp:lineTo x="21591" y="21496"/>
                    <wp:lineTo x="21591" y="-347"/>
                    <wp:lineTo x="-87" y="-347"/>
                  </wp:wrapPolygon>
                </wp:wrapTight>
                <wp:docPr id="3" name="Textfeld 3"/>
                <wp:cNvGraphicFramePr/>
                <a:graphic xmlns:a="http://schemas.openxmlformats.org/drawingml/2006/main">
                  <a:graphicData uri="http://schemas.microsoft.com/office/word/2010/wordprocessingShape">
                    <wps:wsp>
                      <wps:cNvSpPr txBox="1"/>
                      <wps:spPr>
                        <a:xfrm>
                          <a:off x="0" y="0"/>
                          <a:ext cx="3138170" cy="79121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23A5925C" w14:textId="4A3E48AA" w:rsidR="00F16D4E" w:rsidRDefault="00F52773" w:rsidP="00F16D4E">
                            <w:pPr>
                              <w:rPr>
                                <w:rFonts w:ascii="Calibri" w:hAnsi="Calibri" w:cs="Calibri"/>
                                <w:sz w:val="18"/>
                                <w:szCs w:val="18"/>
                              </w:rPr>
                            </w:pPr>
                            <w:r>
                              <w:rPr>
                                <w:rFonts w:ascii="Calibri" w:hAnsi="Calibri" w:cs="Calibri"/>
                                <w:b/>
                                <w:sz w:val="18"/>
                                <w:szCs w:val="18"/>
                              </w:rPr>
                              <w:t>*</w:t>
                            </w:r>
                            <w:r w:rsidR="00F16D4E">
                              <w:rPr>
                                <w:rFonts w:ascii="Calibri" w:hAnsi="Calibri" w:cs="Calibri"/>
                                <w:b/>
                                <w:sz w:val="18"/>
                                <w:szCs w:val="18"/>
                              </w:rPr>
                              <w:t>puritanisch</w:t>
                            </w:r>
                            <w:r w:rsidR="00F16D4E" w:rsidRPr="00CE2BD1">
                              <w:rPr>
                                <w:rFonts w:ascii="Calibri" w:hAnsi="Calibri" w:cs="Calibri"/>
                                <w:b/>
                                <w:sz w:val="18"/>
                                <w:szCs w:val="18"/>
                              </w:rPr>
                              <w:t xml:space="preserve"> (Adj.):</w:t>
                            </w:r>
                            <w:r w:rsidR="00F16D4E" w:rsidRPr="00CE2BD1">
                              <w:rPr>
                                <w:rFonts w:ascii="Calibri" w:hAnsi="Calibri" w:cs="Calibri"/>
                                <w:sz w:val="18"/>
                                <w:szCs w:val="18"/>
                              </w:rPr>
                              <w:t xml:space="preserve"> </w:t>
                            </w:r>
                            <w:r w:rsidR="00F16D4E">
                              <w:rPr>
                                <w:rFonts w:ascii="Calibri" w:hAnsi="Calibri" w:cs="Calibri"/>
                                <w:sz w:val="18"/>
                                <w:szCs w:val="18"/>
                              </w:rPr>
                              <w:t>moralisch, sittenstreng, tugendhaft</w:t>
                            </w:r>
                            <w:r w:rsidR="00F16D4E" w:rsidRPr="00CE2BD1">
                              <w:rPr>
                                <w:rFonts w:ascii="Calibri" w:hAnsi="Calibri" w:cs="Calibri"/>
                                <w:sz w:val="18"/>
                                <w:szCs w:val="18"/>
                              </w:rPr>
                              <w:t>;</w:t>
                            </w:r>
                          </w:p>
                          <w:p w14:paraId="2E5BF77E" w14:textId="3DAA52FB" w:rsidR="00F16D4E" w:rsidRPr="00CE2BD1" w:rsidRDefault="00F52773" w:rsidP="00F16D4E">
                            <w:pPr>
                              <w:rPr>
                                <w:rFonts w:ascii="Calibri" w:hAnsi="Calibri" w:cs="Calibri"/>
                                <w:sz w:val="18"/>
                                <w:szCs w:val="18"/>
                              </w:rPr>
                            </w:pPr>
                            <w:r>
                              <w:rPr>
                                <w:rFonts w:ascii="Calibri" w:hAnsi="Calibri" w:cs="Calibri"/>
                                <w:sz w:val="18"/>
                                <w:szCs w:val="18"/>
                              </w:rPr>
                              <w:t xml:space="preserve">das Wort </w:t>
                            </w:r>
                            <w:r w:rsidR="00F16D4E">
                              <w:rPr>
                                <w:rFonts w:ascii="Calibri" w:hAnsi="Calibri" w:cs="Calibri"/>
                                <w:sz w:val="18"/>
                                <w:szCs w:val="18"/>
                              </w:rPr>
                              <w:t>geht zurück auf den Puritanismus</w:t>
                            </w:r>
                            <w:r>
                              <w:rPr>
                                <w:rFonts w:ascii="Calibri" w:hAnsi="Calibri" w:cs="Calibri"/>
                                <w:sz w:val="18"/>
                                <w:szCs w:val="18"/>
                              </w:rPr>
                              <w:t xml:space="preserve">, eine religiöse Reformbewegung im 16. und 17. Jahrhundert in England, die sich für eine strikte Auslegung der christlichen Lehre einsetzte.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0E849" id="Textfeld 3" o:spid="_x0000_s1029" type="#_x0000_t202" style="position:absolute;margin-left:276.45pt;margin-top:19.4pt;width:247.1pt;height:62.3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vyeegIAAEcFAAAOAAAAZHJzL2Uyb0RvYy54bWysVN9v2jAQfp+0/8Hy+xpC2aCooWJFTJNQ&#10;W41OfTaODdYcn2cbEvbX7+yQlHU8TXtxfLn77sd3d769aypNDsJ5Baag+dWAEmE4lMpsC/r9eflh&#10;QokPzJRMgxEFPQpP72bv393WdiqGsANdCkfQifHT2hZ0F4KdZpnnO1ExfwVWGFRKcBULKLptVjpW&#10;o/dKZ8PB4FNWgyutAy68x7+LVklnyb+UgodHKb0IRBcUcwvpdOncxDOb3bLp1jG7U/yUBvuHLCqm&#10;DAbtXS1YYGTv1F+uKsUdeJDhikOVgZSKi1QDVpMP3lSz3jErUi1Ijrc9Tf7/ueUPh7V9ciQ0n6HB&#10;BkZCauunHn/GehrpqvjFTAnqkcJjT5toAuH48zq/nuRjVHHUjW/yYZ54zV7R1vnwRUBF4qWgDtuS&#10;2GKHlQ8YEU07kxhMm3h60KpcKq2T4Labe+3IgWEjJ6P5crGIqSLwzAylCM1eC0i3cNSidftNSKJK&#10;THmYwqcpE71bxrkwIVGQPKF1hElMoQfml4C6B51sI0yk6euBg0vAPyP2iBQVTOjBlTLgLjkof3Tp&#10;yta+q76tOZYfmk2DRWObut5uoDxiyx202+AtXyrsy4r58MQcjj+2Elc6POIhNdQFhdONkh24X5f+&#10;R3ucStRSUuM6FdT/3DMnKNFfDc7rTT4axf1LwujjeIiCO9dszjVmX90DNjrHx8PydI32QXdX6aB6&#10;wc2fx6ioYoZj7IKG7nof2iXHl4OL+TwZ4cZZFlZmbXl0HVmOU/fcvDBnT6MZcKgfoFs8Nn0zoa1t&#10;RBqY7wNIlcY38tyyeuIftzUN5+llic/BuZysXt+/2W8AAAD//wMAUEsDBBQABgAIAAAAIQDTPt+Z&#10;4AAAAAsBAAAPAAAAZHJzL2Rvd25yZXYueG1sTI/BTsMwDIbvSLxDZCQuiKXr1rGVphOaNAlpJwYP&#10;kDWmrZY4VZJ15e3xTnCz5U+/v7/aTs6KEUPsPSmYzzIQSI03PbUKvj73z2sQMWky2npCBT8YYVvf&#10;31W6NP5KHzgeUys4hGKpFXQpDaWUsenQ6TjzAxLfvn1wOvEaWmmCvnK4szLPspV0uif+0OkBdx02&#10;5+PFKdinrinMeBhCvnk6J3nwhd29K/X4ML29gkg4pT8YbvqsDjU7nfyFTBRWQVHkG0YVLNZc4QZk&#10;y5c5iBNPq8USZF3J/x3qXwAAAP//AwBQSwECLQAUAAYACAAAACEAtoM4kv4AAADhAQAAEwAAAAAA&#10;AAAAAAAAAAAAAAAAW0NvbnRlbnRfVHlwZXNdLnhtbFBLAQItABQABgAIAAAAIQA4/SH/1gAAAJQB&#10;AAALAAAAAAAAAAAAAAAAAC8BAABfcmVscy8ucmVsc1BLAQItABQABgAIAAAAIQA2fvyeegIAAEcF&#10;AAAOAAAAAAAAAAAAAAAAAC4CAABkcnMvZTJvRG9jLnhtbFBLAQItABQABgAIAAAAIQDTPt+Z4AAA&#10;AAsBAAAPAAAAAAAAAAAAAAAAANQEAABkcnMvZG93bnJldi54bWxQSwUGAAAAAAQABADzAAAA4QUA&#10;AAAA&#10;" fillcolor="white [3201]" strokecolor="#84afdd" strokeweight="1.5pt">
                <v:stroke endcap="round"/>
                <v:textbox>
                  <w:txbxContent>
                    <w:p w14:paraId="23A5925C" w14:textId="4A3E48AA" w:rsidR="00F16D4E" w:rsidRDefault="00F52773" w:rsidP="00F16D4E">
                      <w:pPr>
                        <w:rPr>
                          <w:rFonts w:ascii="Calibri" w:hAnsi="Calibri" w:cs="Calibri"/>
                          <w:sz w:val="18"/>
                          <w:szCs w:val="18"/>
                        </w:rPr>
                      </w:pPr>
                      <w:r>
                        <w:rPr>
                          <w:rFonts w:ascii="Calibri" w:hAnsi="Calibri" w:cs="Calibri"/>
                          <w:b/>
                          <w:sz w:val="18"/>
                          <w:szCs w:val="18"/>
                        </w:rPr>
                        <w:t>*</w:t>
                      </w:r>
                      <w:r w:rsidR="00F16D4E">
                        <w:rPr>
                          <w:rFonts w:ascii="Calibri" w:hAnsi="Calibri" w:cs="Calibri"/>
                          <w:b/>
                          <w:sz w:val="18"/>
                          <w:szCs w:val="18"/>
                        </w:rPr>
                        <w:t>puritanisch</w:t>
                      </w:r>
                      <w:r w:rsidR="00F16D4E" w:rsidRPr="00CE2BD1">
                        <w:rPr>
                          <w:rFonts w:ascii="Calibri" w:hAnsi="Calibri" w:cs="Calibri"/>
                          <w:b/>
                          <w:sz w:val="18"/>
                          <w:szCs w:val="18"/>
                        </w:rPr>
                        <w:t xml:space="preserve"> (Adj.):</w:t>
                      </w:r>
                      <w:r w:rsidR="00F16D4E" w:rsidRPr="00CE2BD1">
                        <w:rPr>
                          <w:rFonts w:ascii="Calibri" w:hAnsi="Calibri" w:cs="Calibri"/>
                          <w:sz w:val="18"/>
                          <w:szCs w:val="18"/>
                        </w:rPr>
                        <w:t xml:space="preserve"> </w:t>
                      </w:r>
                      <w:r w:rsidR="00F16D4E">
                        <w:rPr>
                          <w:rFonts w:ascii="Calibri" w:hAnsi="Calibri" w:cs="Calibri"/>
                          <w:sz w:val="18"/>
                          <w:szCs w:val="18"/>
                        </w:rPr>
                        <w:t>moralisch, sittenstreng, tugendhaft</w:t>
                      </w:r>
                      <w:r w:rsidR="00F16D4E" w:rsidRPr="00CE2BD1">
                        <w:rPr>
                          <w:rFonts w:ascii="Calibri" w:hAnsi="Calibri" w:cs="Calibri"/>
                          <w:sz w:val="18"/>
                          <w:szCs w:val="18"/>
                        </w:rPr>
                        <w:t>;</w:t>
                      </w:r>
                    </w:p>
                    <w:p w14:paraId="2E5BF77E" w14:textId="3DAA52FB" w:rsidR="00F16D4E" w:rsidRPr="00CE2BD1" w:rsidRDefault="00F52773" w:rsidP="00F16D4E">
                      <w:pPr>
                        <w:rPr>
                          <w:rFonts w:ascii="Calibri" w:hAnsi="Calibri" w:cs="Calibri"/>
                          <w:sz w:val="18"/>
                          <w:szCs w:val="18"/>
                        </w:rPr>
                      </w:pPr>
                      <w:r>
                        <w:rPr>
                          <w:rFonts w:ascii="Calibri" w:hAnsi="Calibri" w:cs="Calibri"/>
                          <w:sz w:val="18"/>
                          <w:szCs w:val="18"/>
                        </w:rPr>
                        <w:t xml:space="preserve">das Wort </w:t>
                      </w:r>
                      <w:r w:rsidR="00F16D4E">
                        <w:rPr>
                          <w:rFonts w:ascii="Calibri" w:hAnsi="Calibri" w:cs="Calibri"/>
                          <w:sz w:val="18"/>
                          <w:szCs w:val="18"/>
                        </w:rPr>
                        <w:t>geht zurück auf den Puritanismus</w:t>
                      </w:r>
                      <w:r>
                        <w:rPr>
                          <w:rFonts w:ascii="Calibri" w:hAnsi="Calibri" w:cs="Calibri"/>
                          <w:sz w:val="18"/>
                          <w:szCs w:val="18"/>
                        </w:rPr>
                        <w:t xml:space="preserve">, eine religiöse Reformbewegung im 16. und 17. Jahrhundert in England, die sich für eine strikte Auslegung der christlichen Lehre einsetzte. </w:t>
                      </w:r>
                    </w:p>
                  </w:txbxContent>
                </v:textbox>
                <w10:wrap type="tight" anchorx="page"/>
              </v:shape>
            </w:pict>
          </mc:Fallback>
        </mc:AlternateContent>
      </w:r>
      <w:r w:rsidR="007E0F31" w:rsidRPr="00D16C7E">
        <w:rPr>
          <w:rFonts w:ascii="Calibri" w:hAnsi="Calibri"/>
          <w:b/>
          <w:bCs/>
          <w:noProof/>
          <w:color w:val="000000" w:themeColor="text1"/>
          <w:sz w:val="22"/>
          <w:szCs w:val="22"/>
        </w:rPr>
        <mc:AlternateContent>
          <mc:Choice Requires="wps">
            <w:drawing>
              <wp:anchor distT="0" distB="0" distL="114300" distR="114300" simplePos="0" relativeHeight="251665408" behindDoc="1" locked="0" layoutInCell="1" allowOverlap="1" wp14:anchorId="774CDF86" wp14:editId="7D5468D3">
                <wp:simplePos x="0" y="0"/>
                <wp:positionH relativeFrom="page">
                  <wp:posOffset>912219</wp:posOffset>
                </wp:positionH>
                <wp:positionV relativeFrom="paragraph">
                  <wp:posOffset>228264</wp:posOffset>
                </wp:positionV>
                <wp:extent cx="2070100" cy="800100"/>
                <wp:effectExtent l="12700" t="12700" r="12700" b="12700"/>
                <wp:wrapTight wrapText="bothSides">
                  <wp:wrapPolygon edited="0">
                    <wp:start x="-133" y="-343"/>
                    <wp:lineTo x="-133" y="21600"/>
                    <wp:lineTo x="21600" y="21600"/>
                    <wp:lineTo x="21600" y="-343"/>
                    <wp:lineTo x="-133" y="-343"/>
                  </wp:wrapPolygon>
                </wp:wrapTight>
                <wp:docPr id="27" name="Textfeld 27"/>
                <wp:cNvGraphicFramePr/>
                <a:graphic xmlns:a="http://schemas.openxmlformats.org/drawingml/2006/main">
                  <a:graphicData uri="http://schemas.microsoft.com/office/word/2010/wordprocessingShape">
                    <wps:wsp>
                      <wps:cNvSpPr txBox="1"/>
                      <wps:spPr>
                        <a:xfrm>
                          <a:off x="0" y="0"/>
                          <a:ext cx="2070100" cy="80010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6CACC601" w14:textId="49453625" w:rsidR="00987CE5" w:rsidRPr="00CE2BD1" w:rsidRDefault="00987CE5" w:rsidP="00CE2BD1">
                            <w:pPr>
                              <w:rPr>
                                <w:rFonts w:ascii="Calibri" w:hAnsi="Calibri" w:cs="Calibri"/>
                                <w:sz w:val="18"/>
                                <w:szCs w:val="18"/>
                              </w:rPr>
                            </w:pPr>
                            <w:r w:rsidRPr="00CE2BD1">
                              <w:rPr>
                                <w:rFonts w:ascii="Calibri" w:hAnsi="Calibri" w:cs="Calibri"/>
                                <w:b/>
                                <w:sz w:val="18"/>
                                <w:szCs w:val="18"/>
                              </w:rPr>
                              <w:t>vulgär (Adj.):</w:t>
                            </w:r>
                            <w:r w:rsidRPr="00CE2BD1">
                              <w:rPr>
                                <w:rFonts w:ascii="Calibri" w:hAnsi="Calibri" w:cs="Calibri"/>
                                <w:sz w:val="18"/>
                                <w:szCs w:val="18"/>
                              </w:rPr>
                              <w:t xml:space="preserve"> auf abstoßende Weise derb und gewöhnlich, ordinär; </w:t>
                            </w:r>
                            <w:r w:rsidR="00BA3485" w:rsidRPr="00BA3485">
                              <w:rPr>
                                <w:rFonts w:ascii="Calibri" w:hAnsi="Calibri" w:cs="Calibri"/>
                                <w:b/>
                                <w:bCs/>
                                <w:sz w:val="18"/>
                                <w:szCs w:val="18"/>
                              </w:rPr>
                              <w:t>*</w:t>
                            </w:r>
                            <w:r w:rsidRPr="00BA3485">
                              <w:rPr>
                                <w:rFonts w:ascii="Calibri" w:hAnsi="Calibri" w:cs="Calibri"/>
                                <w:b/>
                                <w:bCs/>
                                <w:sz w:val="18"/>
                                <w:szCs w:val="18"/>
                              </w:rPr>
                              <w:t>Vulgarisierung</w:t>
                            </w:r>
                            <w:r w:rsidRPr="00CE2BD1">
                              <w:rPr>
                                <w:rFonts w:ascii="Calibri" w:hAnsi="Calibri" w:cs="Calibri"/>
                                <w:sz w:val="18"/>
                                <w:szCs w:val="18"/>
                              </w:rPr>
                              <w:t xml:space="preserve"> (die) beschreibt den Prozess, in dem etwas zunehmend vulgär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CDF86" id="Textfeld 27" o:spid="_x0000_s1030" type="#_x0000_t202" style="position:absolute;margin-left:71.85pt;margin-top:17.95pt;width:163pt;height:63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j2fcwIAAEcFAAAOAAAAZHJzL2Uyb0RvYy54bWysVN9v2jAQfp+0/8Hy+5qA2MoQoWIgpklV&#10;W5VOfTaODdYcn2cbEvbX7+yQwDqepr0459x93/329K6pNDkI5xWYgg5uckqE4VAqsy3o95fVhzEl&#10;PjBTMg1GFPQoPL2bvX83re1EDGEHuhSOIInxk9oWdBeCnWSZ5ztRMX8DVhhUSnAVC3h126x0rEb2&#10;SmfDPP+U1eBK64AL7/HvslXSWeKXUvDwKKUXgeiCYmwhnS6dm3hmsymbbB2zO8VPYbB/iKJiyqDT&#10;nmrJAiN7p/6iqhR34EGGGw5VBlIqLlIOmM0gf5PNesesSLlgcbzty+T/Hy1/OKztkyOh+QINNjAW&#10;pLZ+4vFnzKeRropfjJSgHkt47MsmmkA4/hzmtxg7qjjqxnmSkSY7o63z4auAikShoA7bkqrFDvc+&#10;tKadSXSmTTw9aFWulNbp4rabhXbkwLCR49F8tVzGUNHHhRneIjQ7J5CkcNSipX0WkqgyhpzcpykT&#10;PS3jXJiQSpCY0DrCJIbQAwfXgLoHnWwjTKTp64H5NeCfHntE8gom9OBKGXDXCMofXbiyte+yb3OO&#10;6Ydm02DSBR11vd1AecSWO2i3wVu+UtiXe+bDE3M4/thKXOnwiIfUUBcUThIlO3C/rv2P9jiVqKWk&#10;xnUqqP+5Z05Qor8ZnNfPg9Eo7l+6jD7eDvHiLjWbS43ZVwvARg/w8bA8idE+6E6UDqpX3Px59Ioq&#10;Zjj6LmjoxEVolxxfDi7m82SEG2dZuDdryyN1rHKcupfmlTl7Gs2AQ/0A3eKxyZsJbW0j0sB8H0Cq&#10;NL6xzm1VT/XHbU3DeXpZ4nNweU9W5/dv9hsAAP//AwBQSwMEFAAGAAgAAAAhAG0pWwreAAAACgEA&#10;AA8AAABkcnMvZG93bnJldi54bWxMj81OwzAQhO9IvIO1SFwQdfqTQEKcClWqhNQThQdw4yWOaq+j&#10;2E3D27Oc4Dg7n2Zn6u3snZhwjH0gBctFBgKpDaanTsHnx/7xGURMmox2gVDBN0bYNrc3ta5MuNI7&#10;TsfUCQ6hWGkFNqWhkjK2Fr2OizAgsfcVRq8Ty7GTZtRXDvdOrrKskF73xB+sHnBnsT0fL17BPtk2&#10;N9NhGFflwznJQ8jd7k2p+7v59QVEwjn9wfBbn6tDw51O4UImCsd6s35iVME6L0EwsClKPpzYKZYl&#10;yKaW/yc0PwAAAP//AwBQSwECLQAUAAYACAAAACEAtoM4kv4AAADhAQAAEwAAAAAAAAAAAAAAAAAA&#10;AAAAW0NvbnRlbnRfVHlwZXNdLnhtbFBLAQItABQABgAIAAAAIQA4/SH/1gAAAJQBAAALAAAAAAAA&#10;AAAAAAAAAC8BAABfcmVscy8ucmVsc1BLAQItABQABgAIAAAAIQCdGj2fcwIAAEcFAAAOAAAAAAAA&#10;AAAAAAAAAC4CAABkcnMvZTJvRG9jLnhtbFBLAQItABQABgAIAAAAIQBtKVsK3gAAAAoBAAAPAAAA&#10;AAAAAAAAAAAAAM0EAABkcnMvZG93bnJldi54bWxQSwUGAAAAAAQABADzAAAA2AUAAAAA&#10;" fillcolor="white [3201]" strokecolor="#84afdd" strokeweight="1.5pt">
                <v:stroke endcap="round"/>
                <v:textbox>
                  <w:txbxContent>
                    <w:p w14:paraId="6CACC601" w14:textId="49453625" w:rsidR="00987CE5" w:rsidRPr="00CE2BD1" w:rsidRDefault="00987CE5" w:rsidP="00CE2BD1">
                      <w:pPr>
                        <w:rPr>
                          <w:rFonts w:ascii="Calibri" w:hAnsi="Calibri" w:cs="Calibri"/>
                          <w:sz w:val="18"/>
                          <w:szCs w:val="18"/>
                        </w:rPr>
                      </w:pPr>
                      <w:r w:rsidRPr="00CE2BD1">
                        <w:rPr>
                          <w:rFonts w:ascii="Calibri" w:hAnsi="Calibri" w:cs="Calibri"/>
                          <w:b/>
                          <w:sz w:val="18"/>
                          <w:szCs w:val="18"/>
                        </w:rPr>
                        <w:t>vulgär (Adj.):</w:t>
                      </w:r>
                      <w:r w:rsidRPr="00CE2BD1">
                        <w:rPr>
                          <w:rFonts w:ascii="Calibri" w:hAnsi="Calibri" w:cs="Calibri"/>
                          <w:sz w:val="18"/>
                          <w:szCs w:val="18"/>
                        </w:rPr>
                        <w:t xml:space="preserve"> auf abstoßende Weise derb und gewöhnlich, ordinär; </w:t>
                      </w:r>
                      <w:r w:rsidR="00BA3485" w:rsidRPr="00BA3485">
                        <w:rPr>
                          <w:rFonts w:ascii="Calibri" w:hAnsi="Calibri" w:cs="Calibri"/>
                          <w:b/>
                          <w:bCs/>
                          <w:sz w:val="18"/>
                          <w:szCs w:val="18"/>
                        </w:rPr>
                        <w:t>*</w:t>
                      </w:r>
                      <w:r w:rsidRPr="00BA3485">
                        <w:rPr>
                          <w:rFonts w:ascii="Calibri" w:hAnsi="Calibri" w:cs="Calibri"/>
                          <w:b/>
                          <w:bCs/>
                          <w:sz w:val="18"/>
                          <w:szCs w:val="18"/>
                        </w:rPr>
                        <w:t>Vulgarisierung</w:t>
                      </w:r>
                      <w:r w:rsidRPr="00CE2BD1">
                        <w:rPr>
                          <w:rFonts w:ascii="Calibri" w:hAnsi="Calibri" w:cs="Calibri"/>
                          <w:sz w:val="18"/>
                          <w:szCs w:val="18"/>
                        </w:rPr>
                        <w:t xml:space="preserve"> (die) beschreibt den Prozess, in dem etwas zunehmend vulgär wird.</w:t>
                      </w:r>
                    </w:p>
                  </w:txbxContent>
                </v:textbox>
                <w10:wrap type="tight" anchorx="page"/>
              </v:shape>
            </w:pict>
          </mc:Fallback>
        </mc:AlternateContent>
      </w:r>
    </w:p>
    <w:p w14:paraId="14E9B455" w14:textId="6DC9DDB2" w:rsidR="00B00FA5" w:rsidRDefault="00B00FA5" w:rsidP="008467CA">
      <w:pPr>
        <w:pStyle w:val="StandardWeb"/>
        <w:jc w:val="left"/>
        <w:rPr>
          <w:rFonts w:ascii="Calibri" w:hAnsi="Calibri"/>
          <w:sz w:val="22"/>
          <w:szCs w:val="22"/>
        </w:rPr>
      </w:pPr>
    </w:p>
    <w:p w14:paraId="2EF102D3" w14:textId="74578F71" w:rsidR="007E0F31" w:rsidRDefault="007E0F31" w:rsidP="008467CA">
      <w:pPr>
        <w:pStyle w:val="StandardWeb"/>
        <w:jc w:val="left"/>
        <w:rPr>
          <w:rFonts w:ascii="Calibri" w:hAnsi="Calibri"/>
          <w:sz w:val="22"/>
          <w:szCs w:val="22"/>
        </w:rPr>
      </w:pPr>
    </w:p>
    <w:p w14:paraId="622BF84C" w14:textId="77777777" w:rsidR="007E0F31" w:rsidRDefault="007E0F31" w:rsidP="008467CA">
      <w:pPr>
        <w:pStyle w:val="StandardWeb"/>
        <w:jc w:val="left"/>
        <w:rPr>
          <w:rFonts w:ascii="Calibri" w:hAnsi="Calibri"/>
          <w:sz w:val="22"/>
          <w:szCs w:val="22"/>
        </w:rPr>
      </w:pPr>
    </w:p>
    <w:p w14:paraId="35E337FC" w14:textId="2591497E" w:rsidR="00AD3F50" w:rsidRDefault="007E0F31" w:rsidP="007E0F31">
      <w:pPr>
        <w:pStyle w:val="StandardWeb"/>
        <w:spacing w:before="0" w:beforeAutospacing="0" w:after="0" w:afterAutospacing="0"/>
        <w:jc w:val="left"/>
        <w:rPr>
          <w:rFonts w:ascii="Calibri" w:hAnsi="Calibri" w:cs="Calibri"/>
          <w:color w:val="000000" w:themeColor="text1"/>
          <w:sz w:val="19"/>
          <w:szCs w:val="19"/>
        </w:rPr>
      </w:pPr>
      <w:r w:rsidRPr="00F52773">
        <w:rPr>
          <w:rFonts w:ascii="Calibri" w:hAnsi="Calibri" w:cs="Calibri"/>
          <w:b/>
          <w:bCs/>
          <w:sz w:val="19"/>
          <w:szCs w:val="19"/>
        </w:rPr>
        <w:t>Quelle</w:t>
      </w:r>
      <w:r w:rsidRPr="007E0F31">
        <w:rPr>
          <w:rFonts w:ascii="Calibri" w:hAnsi="Calibri" w:cs="Calibri"/>
          <w:sz w:val="19"/>
          <w:szCs w:val="19"/>
        </w:rPr>
        <w:t xml:space="preserve">: </w:t>
      </w:r>
      <w:r w:rsidR="00970030" w:rsidRPr="007E0F31">
        <w:rPr>
          <w:rFonts w:ascii="Calibri" w:hAnsi="Calibri" w:cs="Calibri"/>
          <w:sz w:val="19"/>
          <w:szCs w:val="19"/>
        </w:rPr>
        <w:t>Ingeborg Breuer: Wo die Grenzen des Sagbaren liegen, in: Deutschlandfunk, 21.2.2019</w:t>
      </w:r>
      <w:r w:rsidRPr="007E0F31">
        <w:rPr>
          <w:rFonts w:ascii="Calibri" w:hAnsi="Calibri" w:cs="Calibri"/>
          <w:sz w:val="19"/>
          <w:szCs w:val="19"/>
        </w:rPr>
        <w:t xml:space="preserve">. </w:t>
      </w:r>
      <w:r w:rsidR="00970030" w:rsidRPr="007E0F31">
        <w:rPr>
          <w:rFonts w:ascii="Calibri" w:hAnsi="Calibri" w:cs="Calibri"/>
          <w:sz w:val="19"/>
          <w:szCs w:val="19"/>
        </w:rPr>
        <w:t xml:space="preserve"> </w:t>
      </w:r>
      <w:r w:rsidRPr="007E0F31">
        <w:rPr>
          <w:rFonts w:ascii="Calibri" w:hAnsi="Calibri" w:cs="Calibri"/>
          <w:sz w:val="19"/>
          <w:szCs w:val="19"/>
        </w:rPr>
        <w:t>Gesamter Text und Audiodatei zum Download (Dauer: 20:45 Minuten) unter</w:t>
      </w:r>
      <w:r w:rsidR="00970030" w:rsidRPr="007E0F31">
        <w:rPr>
          <w:rFonts w:ascii="Calibri" w:hAnsi="Calibri" w:cs="Calibri"/>
          <w:sz w:val="19"/>
          <w:szCs w:val="19"/>
        </w:rPr>
        <w:t xml:space="preserve">: </w:t>
      </w:r>
      <w:hyperlink r:id="rId18" w:history="1">
        <w:r w:rsidR="00970030" w:rsidRPr="007E0F31">
          <w:rPr>
            <w:rStyle w:val="Hyperlink"/>
            <w:rFonts w:ascii="Calibri" w:hAnsi="Calibri" w:cs="Calibri"/>
            <w:color w:val="000000" w:themeColor="text1"/>
            <w:sz w:val="19"/>
            <w:szCs w:val="19"/>
          </w:rPr>
          <w:t>www.deutschlandfunk.de/meinungsfreiheit-wo-die-grenzen-des-sagbaren-liegen.1148.de.html?dram:article_id=441626</w:t>
        </w:r>
      </w:hyperlink>
      <w:r w:rsidR="00970030" w:rsidRPr="007E0F31">
        <w:rPr>
          <w:rFonts w:ascii="Calibri" w:hAnsi="Calibri" w:cs="Calibri"/>
          <w:color w:val="000000" w:themeColor="text1"/>
          <w:sz w:val="19"/>
          <w:szCs w:val="19"/>
        </w:rPr>
        <w:t xml:space="preserve"> (zuletzt: </w:t>
      </w:r>
      <w:r w:rsidR="001156E9">
        <w:rPr>
          <w:rFonts w:ascii="Calibri" w:hAnsi="Calibri" w:cs="Calibri"/>
          <w:color w:val="000000" w:themeColor="text1"/>
          <w:sz w:val="19"/>
          <w:szCs w:val="19"/>
        </w:rPr>
        <w:t>29.07.2025</w:t>
      </w:r>
      <w:r w:rsidR="00E1535F">
        <w:rPr>
          <w:rFonts w:ascii="Calibri" w:hAnsi="Calibri" w:cs="Calibri"/>
          <w:color w:val="000000" w:themeColor="text1"/>
          <w:sz w:val="19"/>
          <w:szCs w:val="19"/>
        </w:rPr>
        <w:t>/</w:t>
      </w:r>
      <w:r w:rsidR="00B00FA5" w:rsidRPr="007E0F31">
        <w:rPr>
          <w:rFonts w:ascii="Calibri" w:hAnsi="Calibri" w:cs="Calibri"/>
          <w:color w:val="000000" w:themeColor="text1"/>
          <w:sz w:val="19"/>
          <w:szCs w:val="19"/>
        </w:rPr>
        <w:t>)</w:t>
      </w:r>
    </w:p>
    <w:p w14:paraId="224F63A5" w14:textId="77777777" w:rsidR="007E0F31" w:rsidRPr="007E0F31" w:rsidRDefault="007E0F31" w:rsidP="007E0F31">
      <w:pPr>
        <w:pStyle w:val="StandardWeb"/>
        <w:spacing w:before="0" w:beforeAutospacing="0" w:after="0" w:afterAutospacing="0"/>
        <w:jc w:val="left"/>
        <w:rPr>
          <w:rFonts w:ascii="Calibri" w:hAnsi="Calibri" w:cs="Calibri"/>
          <w:sz w:val="19"/>
          <w:szCs w:val="19"/>
        </w:rPr>
      </w:pPr>
    </w:p>
    <w:p w14:paraId="7179FA2B" w14:textId="77777777" w:rsidR="00546389" w:rsidRDefault="00546389" w:rsidP="002B4A91">
      <w:pPr>
        <w:rPr>
          <w:rFonts w:ascii="Calibri" w:hAnsi="Calibri"/>
          <w:b/>
          <w:bCs/>
        </w:rPr>
      </w:pPr>
    </w:p>
    <w:p w14:paraId="5D1E70A2" w14:textId="67DBAC9D" w:rsidR="008157DA" w:rsidRPr="002B4A91" w:rsidRDefault="008157DA" w:rsidP="00546389">
      <w:pPr>
        <w:spacing w:after="240"/>
        <w:rPr>
          <w:rFonts w:ascii="Calibri" w:hAnsi="Calibri"/>
          <w:b/>
          <w:bCs/>
        </w:rPr>
      </w:pPr>
      <w:r w:rsidRPr="002B4A91">
        <w:rPr>
          <w:rFonts w:ascii="Calibri" w:hAnsi="Calibri"/>
          <w:b/>
          <w:bCs/>
        </w:rPr>
        <w:t xml:space="preserve">Aufgabe 1: </w:t>
      </w:r>
    </w:p>
    <w:p w14:paraId="6F536836" w14:textId="0D39650E" w:rsidR="008157DA" w:rsidRPr="002B4A91" w:rsidRDefault="008157DA" w:rsidP="008157DA">
      <w:pPr>
        <w:pStyle w:val="Listenabsatz"/>
        <w:numPr>
          <w:ilvl w:val="0"/>
          <w:numId w:val="55"/>
        </w:numPr>
        <w:spacing w:after="0" w:line="240" w:lineRule="auto"/>
        <w:rPr>
          <w:rFonts w:ascii="Calibri" w:hAnsi="Calibri"/>
          <w:b/>
          <w:bCs/>
          <w:sz w:val="22"/>
          <w:szCs w:val="22"/>
        </w:rPr>
      </w:pPr>
      <w:r w:rsidRPr="002B4A91">
        <w:rPr>
          <w:rFonts w:ascii="Calibri" w:hAnsi="Calibri"/>
          <w:b/>
          <w:bCs/>
          <w:sz w:val="22"/>
          <w:szCs w:val="22"/>
        </w:rPr>
        <w:t xml:space="preserve">Schutz der Meinungsfreiheit durch: </w:t>
      </w:r>
    </w:p>
    <w:p w14:paraId="6DE68DF8" w14:textId="77777777" w:rsidR="008157DA" w:rsidRPr="002B4A91" w:rsidRDefault="008157DA" w:rsidP="008157DA">
      <w:pPr>
        <w:pStyle w:val="Listenabsatz"/>
        <w:spacing w:after="0" w:line="240" w:lineRule="auto"/>
        <w:rPr>
          <w:b/>
          <w:bCs/>
          <w:sz w:val="10"/>
          <w:szCs w:val="10"/>
        </w:rPr>
      </w:pPr>
    </w:p>
    <w:p w14:paraId="6DD1D075" w14:textId="77777777" w:rsidR="008157DA" w:rsidRDefault="008157DA" w:rsidP="008157DA"/>
    <w:tbl>
      <w:tblPr>
        <w:tblStyle w:val="Tabellenraster"/>
        <w:tblW w:w="9464" w:type="dxa"/>
        <w:tblBorders>
          <w:left w:val="none" w:sz="0" w:space="0" w:color="auto"/>
          <w:right w:val="none" w:sz="0" w:space="0" w:color="auto"/>
        </w:tblBorders>
        <w:tblLook w:val="04A0" w:firstRow="1" w:lastRow="0" w:firstColumn="1" w:lastColumn="0" w:noHBand="0" w:noVBand="1"/>
      </w:tblPr>
      <w:tblGrid>
        <w:gridCol w:w="9464"/>
      </w:tblGrid>
      <w:tr w:rsidR="008157DA" w14:paraId="4B2C46FD" w14:textId="77777777" w:rsidTr="008157DA">
        <w:trPr>
          <w:trHeight w:val="403"/>
        </w:trPr>
        <w:tc>
          <w:tcPr>
            <w:tcW w:w="9464" w:type="dxa"/>
          </w:tcPr>
          <w:p w14:paraId="253707A0" w14:textId="77777777" w:rsidR="008157DA" w:rsidRDefault="008157DA" w:rsidP="00583602"/>
        </w:tc>
      </w:tr>
      <w:tr w:rsidR="008157DA" w14:paraId="730C1ACB" w14:textId="77777777" w:rsidTr="008157DA">
        <w:trPr>
          <w:trHeight w:val="384"/>
        </w:trPr>
        <w:tc>
          <w:tcPr>
            <w:tcW w:w="9464" w:type="dxa"/>
          </w:tcPr>
          <w:p w14:paraId="7CAC24C9" w14:textId="77777777" w:rsidR="008157DA" w:rsidRDefault="008157DA" w:rsidP="00583602"/>
        </w:tc>
      </w:tr>
      <w:tr w:rsidR="008157DA" w14:paraId="5F11159B" w14:textId="77777777" w:rsidTr="008157DA">
        <w:trPr>
          <w:trHeight w:val="384"/>
        </w:trPr>
        <w:tc>
          <w:tcPr>
            <w:tcW w:w="9464" w:type="dxa"/>
          </w:tcPr>
          <w:p w14:paraId="3D64CCC9" w14:textId="77777777" w:rsidR="008157DA" w:rsidRDefault="008157DA" w:rsidP="00583602"/>
        </w:tc>
      </w:tr>
      <w:tr w:rsidR="00546389" w14:paraId="59F1F76C" w14:textId="77777777" w:rsidTr="008157DA">
        <w:trPr>
          <w:trHeight w:val="384"/>
        </w:trPr>
        <w:tc>
          <w:tcPr>
            <w:tcW w:w="9464" w:type="dxa"/>
          </w:tcPr>
          <w:p w14:paraId="705DCF98" w14:textId="77777777" w:rsidR="00546389" w:rsidRDefault="00546389" w:rsidP="00583602"/>
        </w:tc>
      </w:tr>
      <w:tr w:rsidR="00546389" w14:paraId="04E9617E" w14:textId="77777777" w:rsidTr="008157DA">
        <w:trPr>
          <w:trHeight w:val="384"/>
        </w:trPr>
        <w:tc>
          <w:tcPr>
            <w:tcW w:w="9464" w:type="dxa"/>
          </w:tcPr>
          <w:p w14:paraId="524A3BEA" w14:textId="77777777" w:rsidR="00546389" w:rsidRDefault="00546389" w:rsidP="00583602"/>
        </w:tc>
      </w:tr>
      <w:tr w:rsidR="00546389" w14:paraId="4A9C275B" w14:textId="77777777" w:rsidTr="008157DA">
        <w:trPr>
          <w:trHeight w:val="384"/>
        </w:trPr>
        <w:tc>
          <w:tcPr>
            <w:tcW w:w="9464" w:type="dxa"/>
          </w:tcPr>
          <w:p w14:paraId="29B2C77F" w14:textId="77777777" w:rsidR="00546389" w:rsidRDefault="00546389" w:rsidP="00583602"/>
        </w:tc>
      </w:tr>
      <w:tr w:rsidR="00546389" w14:paraId="6C64119C" w14:textId="77777777" w:rsidTr="008157DA">
        <w:trPr>
          <w:trHeight w:val="384"/>
        </w:trPr>
        <w:tc>
          <w:tcPr>
            <w:tcW w:w="9464" w:type="dxa"/>
          </w:tcPr>
          <w:p w14:paraId="5ABBA98B" w14:textId="77777777" w:rsidR="00546389" w:rsidRDefault="00546389" w:rsidP="00583602"/>
        </w:tc>
      </w:tr>
    </w:tbl>
    <w:p w14:paraId="5D62C250" w14:textId="77777777" w:rsidR="00546389" w:rsidRDefault="00546389" w:rsidP="00546389"/>
    <w:p w14:paraId="4048936D" w14:textId="77777777" w:rsidR="008157DA" w:rsidRDefault="008157DA" w:rsidP="008157DA">
      <w:pPr>
        <w:ind w:right="201"/>
      </w:pPr>
    </w:p>
    <w:p w14:paraId="1318E138" w14:textId="40E152AA" w:rsidR="008157DA" w:rsidRPr="002B4A91" w:rsidRDefault="008157DA" w:rsidP="008157DA">
      <w:pPr>
        <w:pStyle w:val="Listenabsatz"/>
        <w:numPr>
          <w:ilvl w:val="0"/>
          <w:numId w:val="55"/>
        </w:numPr>
        <w:spacing w:after="0" w:line="240" w:lineRule="auto"/>
        <w:rPr>
          <w:rFonts w:ascii="Calibri" w:hAnsi="Calibri"/>
          <w:b/>
          <w:bCs/>
          <w:sz w:val="22"/>
          <w:szCs w:val="22"/>
        </w:rPr>
      </w:pPr>
      <w:r w:rsidRPr="002B4A91">
        <w:rPr>
          <w:rFonts w:ascii="Calibri" w:hAnsi="Calibri"/>
          <w:b/>
          <w:bCs/>
          <w:sz w:val="22"/>
          <w:szCs w:val="22"/>
        </w:rPr>
        <w:t xml:space="preserve">Begrenzung der Meinungsfreiheit durch: </w:t>
      </w:r>
    </w:p>
    <w:p w14:paraId="1F2D0912" w14:textId="77777777" w:rsidR="008157DA" w:rsidRPr="002B4A91" w:rsidRDefault="008157DA" w:rsidP="008157DA">
      <w:pPr>
        <w:pStyle w:val="Listenabsatz"/>
        <w:spacing w:after="0" w:line="240" w:lineRule="auto"/>
        <w:rPr>
          <w:b/>
          <w:bCs/>
          <w:sz w:val="10"/>
          <w:szCs w:val="10"/>
        </w:rPr>
      </w:pPr>
    </w:p>
    <w:p w14:paraId="3C84EB60" w14:textId="77777777" w:rsidR="008157DA" w:rsidRDefault="008157DA" w:rsidP="008157DA"/>
    <w:tbl>
      <w:tblPr>
        <w:tblStyle w:val="Tabellenraster"/>
        <w:tblW w:w="9322" w:type="dxa"/>
        <w:tblBorders>
          <w:left w:val="none" w:sz="0" w:space="0" w:color="auto"/>
          <w:right w:val="none" w:sz="0" w:space="0" w:color="auto"/>
        </w:tblBorders>
        <w:tblLook w:val="04A0" w:firstRow="1" w:lastRow="0" w:firstColumn="1" w:lastColumn="0" w:noHBand="0" w:noVBand="1"/>
      </w:tblPr>
      <w:tblGrid>
        <w:gridCol w:w="9322"/>
      </w:tblGrid>
      <w:tr w:rsidR="008157DA" w14:paraId="76B730D8" w14:textId="77777777" w:rsidTr="008157DA">
        <w:trPr>
          <w:trHeight w:val="403"/>
        </w:trPr>
        <w:tc>
          <w:tcPr>
            <w:tcW w:w="9322" w:type="dxa"/>
          </w:tcPr>
          <w:p w14:paraId="52468708" w14:textId="77777777" w:rsidR="008157DA" w:rsidRDefault="008157DA" w:rsidP="00583602"/>
        </w:tc>
      </w:tr>
      <w:tr w:rsidR="008157DA" w14:paraId="78C3C648" w14:textId="77777777" w:rsidTr="008157DA">
        <w:trPr>
          <w:trHeight w:val="384"/>
        </w:trPr>
        <w:tc>
          <w:tcPr>
            <w:tcW w:w="9322" w:type="dxa"/>
          </w:tcPr>
          <w:p w14:paraId="6CD9C0BB" w14:textId="77777777" w:rsidR="008157DA" w:rsidRDefault="008157DA" w:rsidP="00583602"/>
        </w:tc>
      </w:tr>
      <w:tr w:rsidR="008157DA" w14:paraId="2A89A0E0" w14:textId="77777777" w:rsidTr="008157DA">
        <w:trPr>
          <w:trHeight w:val="384"/>
        </w:trPr>
        <w:tc>
          <w:tcPr>
            <w:tcW w:w="9322" w:type="dxa"/>
          </w:tcPr>
          <w:p w14:paraId="5BD58CDB" w14:textId="77777777" w:rsidR="008157DA" w:rsidRDefault="008157DA" w:rsidP="00583602"/>
        </w:tc>
      </w:tr>
      <w:tr w:rsidR="00546389" w14:paraId="210FED47" w14:textId="77777777" w:rsidTr="008157DA">
        <w:trPr>
          <w:trHeight w:val="384"/>
        </w:trPr>
        <w:tc>
          <w:tcPr>
            <w:tcW w:w="9322" w:type="dxa"/>
          </w:tcPr>
          <w:p w14:paraId="598D695D" w14:textId="77777777" w:rsidR="00546389" w:rsidRDefault="00546389" w:rsidP="00583602"/>
        </w:tc>
      </w:tr>
      <w:tr w:rsidR="00546389" w14:paraId="606C4126" w14:textId="77777777" w:rsidTr="008157DA">
        <w:trPr>
          <w:trHeight w:val="384"/>
        </w:trPr>
        <w:tc>
          <w:tcPr>
            <w:tcW w:w="9322" w:type="dxa"/>
          </w:tcPr>
          <w:p w14:paraId="76EF9677" w14:textId="77777777" w:rsidR="00546389" w:rsidRDefault="00546389" w:rsidP="00583602"/>
        </w:tc>
      </w:tr>
      <w:tr w:rsidR="00546389" w14:paraId="1B808D30" w14:textId="77777777" w:rsidTr="008157DA">
        <w:trPr>
          <w:trHeight w:val="384"/>
        </w:trPr>
        <w:tc>
          <w:tcPr>
            <w:tcW w:w="9322" w:type="dxa"/>
          </w:tcPr>
          <w:p w14:paraId="5431F493" w14:textId="77777777" w:rsidR="00546389" w:rsidRDefault="00546389" w:rsidP="00583602"/>
        </w:tc>
      </w:tr>
      <w:tr w:rsidR="00546389" w14:paraId="495D21CA" w14:textId="77777777" w:rsidTr="008157DA">
        <w:trPr>
          <w:trHeight w:val="384"/>
        </w:trPr>
        <w:tc>
          <w:tcPr>
            <w:tcW w:w="9322" w:type="dxa"/>
          </w:tcPr>
          <w:p w14:paraId="62E6BFE8" w14:textId="77777777" w:rsidR="00546389" w:rsidRDefault="00546389" w:rsidP="00583602"/>
        </w:tc>
      </w:tr>
    </w:tbl>
    <w:p w14:paraId="4EFA93CF" w14:textId="56047EE3" w:rsidR="008157DA" w:rsidRDefault="008157DA" w:rsidP="008157DA">
      <w:pPr>
        <w:pStyle w:val="Listenabsatz"/>
        <w:spacing w:after="0" w:line="240" w:lineRule="auto"/>
      </w:pPr>
    </w:p>
    <w:p w14:paraId="0584B5FE" w14:textId="77777777" w:rsidR="00546389" w:rsidRDefault="00546389" w:rsidP="008157DA">
      <w:pPr>
        <w:pStyle w:val="Listenabsatz"/>
        <w:spacing w:after="0" w:line="240" w:lineRule="auto"/>
      </w:pPr>
    </w:p>
    <w:p w14:paraId="107FA916" w14:textId="7E0550E6" w:rsidR="008157DA" w:rsidRPr="002B4A91" w:rsidRDefault="008157DA" w:rsidP="008157DA">
      <w:pPr>
        <w:pStyle w:val="Listenabsatz"/>
        <w:numPr>
          <w:ilvl w:val="0"/>
          <w:numId w:val="55"/>
        </w:numPr>
        <w:spacing w:after="0" w:line="240" w:lineRule="auto"/>
        <w:rPr>
          <w:rFonts w:ascii="Calibri" w:hAnsi="Calibri"/>
          <w:b/>
          <w:bCs/>
          <w:sz w:val="22"/>
          <w:szCs w:val="22"/>
        </w:rPr>
      </w:pPr>
      <w:r w:rsidRPr="002B4A91">
        <w:rPr>
          <w:rFonts w:ascii="Calibri" w:hAnsi="Calibri"/>
          <w:b/>
          <w:bCs/>
          <w:sz w:val="22"/>
          <w:szCs w:val="22"/>
        </w:rPr>
        <w:t xml:space="preserve">Weitere Mittel der Auseinandersetzung mit undemokratischen Aussagen oder Ideologien: </w:t>
      </w:r>
    </w:p>
    <w:p w14:paraId="2CFD8C8E" w14:textId="77777777" w:rsidR="008157DA" w:rsidRPr="002B4A91" w:rsidRDefault="008157DA" w:rsidP="008157DA">
      <w:pPr>
        <w:pStyle w:val="Listenabsatz"/>
        <w:spacing w:after="0" w:line="240" w:lineRule="auto"/>
        <w:rPr>
          <w:b/>
          <w:bCs/>
          <w:sz w:val="10"/>
          <w:szCs w:val="10"/>
        </w:rPr>
      </w:pPr>
    </w:p>
    <w:p w14:paraId="0C865C74" w14:textId="77777777" w:rsidR="008157DA" w:rsidRDefault="008157DA" w:rsidP="008157DA">
      <w:pPr>
        <w:jc w:val="center"/>
      </w:pPr>
    </w:p>
    <w:tbl>
      <w:tblPr>
        <w:tblStyle w:val="Tabellenraster"/>
        <w:tblW w:w="9464" w:type="dxa"/>
        <w:tblBorders>
          <w:left w:val="none" w:sz="0" w:space="0" w:color="auto"/>
          <w:right w:val="none" w:sz="0" w:space="0" w:color="auto"/>
        </w:tblBorders>
        <w:tblLook w:val="04A0" w:firstRow="1" w:lastRow="0" w:firstColumn="1" w:lastColumn="0" w:noHBand="0" w:noVBand="1"/>
      </w:tblPr>
      <w:tblGrid>
        <w:gridCol w:w="9464"/>
      </w:tblGrid>
      <w:tr w:rsidR="008157DA" w14:paraId="199FC4CB" w14:textId="77777777" w:rsidTr="008157DA">
        <w:trPr>
          <w:trHeight w:val="403"/>
        </w:trPr>
        <w:tc>
          <w:tcPr>
            <w:tcW w:w="9464" w:type="dxa"/>
          </w:tcPr>
          <w:p w14:paraId="19958F1B" w14:textId="77777777" w:rsidR="008157DA" w:rsidRDefault="008157DA" w:rsidP="00583602"/>
        </w:tc>
      </w:tr>
      <w:tr w:rsidR="008157DA" w14:paraId="323E982F" w14:textId="77777777" w:rsidTr="008157DA">
        <w:trPr>
          <w:trHeight w:val="384"/>
        </w:trPr>
        <w:tc>
          <w:tcPr>
            <w:tcW w:w="9464" w:type="dxa"/>
          </w:tcPr>
          <w:p w14:paraId="214D6C40" w14:textId="77777777" w:rsidR="008157DA" w:rsidRDefault="008157DA" w:rsidP="00583602"/>
        </w:tc>
      </w:tr>
      <w:tr w:rsidR="008157DA" w14:paraId="0770E943" w14:textId="77777777" w:rsidTr="008157DA">
        <w:trPr>
          <w:trHeight w:val="384"/>
        </w:trPr>
        <w:tc>
          <w:tcPr>
            <w:tcW w:w="9464" w:type="dxa"/>
          </w:tcPr>
          <w:p w14:paraId="7B79B710" w14:textId="77777777" w:rsidR="008157DA" w:rsidRDefault="008157DA" w:rsidP="00583602"/>
        </w:tc>
      </w:tr>
      <w:tr w:rsidR="00546389" w14:paraId="5F7B7B4D" w14:textId="77777777" w:rsidTr="008157DA">
        <w:trPr>
          <w:trHeight w:val="384"/>
        </w:trPr>
        <w:tc>
          <w:tcPr>
            <w:tcW w:w="9464" w:type="dxa"/>
          </w:tcPr>
          <w:p w14:paraId="1885C8F7" w14:textId="77777777" w:rsidR="00546389" w:rsidRDefault="00546389" w:rsidP="00583602"/>
        </w:tc>
      </w:tr>
      <w:tr w:rsidR="00546389" w14:paraId="5F6FFBAC" w14:textId="77777777" w:rsidTr="008157DA">
        <w:trPr>
          <w:trHeight w:val="384"/>
        </w:trPr>
        <w:tc>
          <w:tcPr>
            <w:tcW w:w="9464" w:type="dxa"/>
          </w:tcPr>
          <w:p w14:paraId="7DAC8B7B" w14:textId="77777777" w:rsidR="00546389" w:rsidRDefault="00546389" w:rsidP="00583602"/>
        </w:tc>
      </w:tr>
      <w:tr w:rsidR="00546389" w14:paraId="286F483C" w14:textId="77777777" w:rsidTr="008157DA">
        <w:trPr>
          <w:trHeight w:val="384"/>
        </w:trPr>
        <w:tc>
          <w:tcPr>
            <w:tcW w:w="9464" w:type="dxa"/>
          </w:tcPr>
          <w:p w14:paraId="1552E6DC" w14:textId="77777777" w:rsidR="00546389" w:rsidRDefault="00546389" w:rsidP="00583602"/>
        </w:tc>
      </w:tr>
      <w:tr w:rsidR="00546389" w14:paraId="294912BE" w14:textId="77777777" w:rsidTr="008157DA">
        <w:trPr>
          <w:trHeight w:val="384"/>
        </w:trPr>
        <w:tc>
          <w:tcPr>
            <w:tcW w:w="9464" w:type="dxa"/>
          </w:tcPr>
          <w:p w14:paraId="4E18D24F" w14:textId="77777777" w:rsidR="00546389" w:rsidRDefault="00546389" w:rsidP="00583602"/>
        </w:tc>
      </w:tr>
    </w:tbl>
    <w:p w14:paraId="2661211C" w14:textId="77777777" w:rsidR="008157DA" w:rsidRPr="002B4A91" w:rsidRDefault="008157DA" w:rsidP="008157DA">
      <w:pPr>
        <w:rPr>
          <w:sz w:val="10"/>
          <w:szCs w:val="10"/>
        </w:rPr>
      </w:pPr>
    </w:p>
    <w:p w14:paraId="069AC2B5" w14:textId="77777777" w:rsidR="008157DA" w:rsidRDefault="008157DA" w:rsidP="008157DA">
      <w:pPr>
        <w:autoSpaceDE w:val="0"/>
        <w:autoSpaceDN w:val="0"/>
        <w:adjustRightInd w:val="0"/>
      </w:pPr>
    </w:p>
    <w:p w14:paraId="380EE8AC" w14:textId="77777777" w:rsidR="00546389" w:rsidRDefault="00546389" w:rsidP="008157DA">
      <w:pPr>
        <w:autoSpaceDE w:val="0"/>
        <w:autoSpaceDN w:val="0"/>
        <w:adjustRightInd w:val="0"/>
        <w:rPr>
          <w:rFonts w:ascii="Calibri" w:hAnsi="Calibri"/>
          <w:b/>
          <w:bCs/>
        </w:rPr>
      </w:pPr>
    </w:p>
    <w:p w14:paraId="4E81E4FB" w14:textId="77777777" w:rsidR="00546389" w:rsidRDefault="00546389" w:rsidP="008157DA">
      <w:pPr>
        <w:autoSpaceDE w:val="0"/>
        <w:autoSpaceDN w:val="0"/>
        <w:adjustRightInd w:val="0"/>
        <w:rPr>
          <w:rFonts w:ascii="Calibri" w:hAnsi="Calibri"/>
          <w:b/>
          <w:bCs/>
        </w:rPr>
      </w:pPr>
    </w:p>
    <w:p w14:paraId="2281D2A4" w14:textId="77777777" w:rsidR="00546389" w:rsidRDefault="00546389" w:rsidP="008157DA">
      <w:pPr>
        <w:autoSpaceDE w:val="0"/>
        <w:autoSpaceDN w:val="0"/>
        <w:adjustRightInd w:val="0"/>
        <w:rPr>
          <w:rFonts w:ascii="Calibri" w:hAnsi="Calibri"/>
          <w:b/>
          <w:bCs/>
        </w:rPr>
      </w:pPr>
    </w:p>
    <w:p w14:paraId="23571B7E" w14:textId="77777777" w:rsidR="00546389" w:rsidRDefault="00546389" w:rsidP="008157DA">
      <w:pPr>
        <w:autoSpaceDE w:val="0"/>
        <w:autoSpaceDN w:val="0"/>
        <w:adjustRightInd w:val="0"/>
        <w:rPr>
          <w:rFonts w:ascii="Calibri" w:hAnsi="Calibri"/>
          <w:b/>
          <w:bCs/>
        </w:rPr>
      </w:pPr>
    </w:p>
    <w:p w14:paraId="5E58FF5C" w14:textId="77777777" w:rsidR="00546389" w:rsidRDefault="00546389" w:rsidP="008157DA">
      <w:pPr>
        <w:autoSpaceDE w:val="0"/>
        <w:autoSpaceDN w:val="0"/>
        <w:adjustRightInd w:val="0"/>
        <w:rPr>
          <w:rFonts w:ascii="Calibri" w:hAnsi="Calibri"/>
          <w:b/>
          <w:bCs/>
        </w:rPr>
      </w:pPr>
    </w:p>
    <w:p w14:paraId="7740076F" w14:textId="06EFBCC4" w:rsidR="008157DA" w:rsidRPr="002B4A91" w:rsidRDefault="008157DA" w:rsidP="008157DA">
      <w:pPr>
        <w:autoSpaceDE w:val="0"/>
        <w:autoSpaceDN w:val="0"/>
        <w:adjustRightInd w:val="0"/>
        <w:rPr>
          <w:rFonts w:ascii="Calibri" w:hAnsi="Calibri" w:cs="_”úÑ˛"/>
          <w:b/>
          <w:bCs/>
          <w:sz w:val="10"/>
          <w:szCs w:val="10"/>
        </w:rPr>
      </w:pPr>
      <w:r w:rsidRPr="002B4A91">
        <w:rPr>
          <w:rFonts w:ascii="Calibri" w:hAnsi="Calibri"/>
          <w:b/>
          <w:bCs/>
        </w:rPr>
        <w:t xml:space="preserve">Aufgabe </w:t>
      </w:r>
      <w:r w:rsidR="00546389">
        <w:rPr>
          <w:rFonts w:ascii="Calibri" w:hAnsi="Calibri"/>
          <w:b/>
          <w:bCs/>
        </w:rPr>
        <w:t>3</w:t>
      </w:r>
      <w:r w:rsidRPr="002B4A91">
        <w:rPr>
          <w:rFonts w:ascii="Calibri" w:hAnsi="Calibri"/>
          <w:b/>
          <w:bCs/>
        </w:rPr>
        <w:t xml:space="preserve">: </w:t>
      </w:r>
      <w:r w:rsidRPr="002B4A91">
        <w:rPr>
          <w:rFonts w:ascii="Calibri" w:hAnsi="Calibri" w:cs="_”úÑ˛"/>
          <w:b/>
          <w:bCs/>
        </w:rPr>
        <w:t>„Wo die Grenzen des Sagbaren liegen“ von Ingeborg Breuer (M</w:t>
      </w:r>
      <w:r w:rsidR="002B4A91">
        <w:rPr>
          <w:rFonts w:ascii="Calibri" w:hAnsi="Calibri" w:cs="_”úÑ˛"/>
          <w:b/>
          <w:bCs/>
        </w:rPr>
        <w:t>2</w:t>
      </w:r>
      <w:r w:rsidRPr="002B4A91">
        <w:rPr>
          <w:rFonts w:ascii="Calibri" w:hAnsi="Calibri" w:cs="_”úÑ˛"/>
          <w:b/>
          <w:bCs/>
        </w:rPr>
        <w:t>)</w:t>
      </w:r>
      <w:r w:rsidRPr="002B4A91">
        <w:rPr>
          <w:rFonts w:ascii="Calibri" w:hAnsi="Calibri" w:cs="_”úÑ˛"/>
          <w:b/>
          <w:bCs/>
        </w:rPr>
        <w:br/>
      </w:r>
    </w:p>
    <w:p w14:paraId="0F4E311C" w14:textId="0A8F04D1" w:rsidR="008157DA" w:rsidRPr="002B4A91" w:rsidRDefault="008157DA" w:rsidP="008157DA">
      <w:pPr>
        <w:pStyle w:val="Listenabsatz"/>
        <w:numPr>
          <w:ilvl w:val="0"/>
          <w:numId w:val="57"/>
        </w:numPr>
        <w:spacing w:after="0" w:line="240" w:lineRule="auto"/>
        <w:jc w:val="left"/>
        <w:rPr>
          <w:rFonts w:ascii="Calibri" w:hAnsi="Calibri"/>
          <w:sz w:val="22"/>
          <w:szCs w:val="22"/>
        </w:rPr>
      </w:pPr>
      <w:r w:rsidRPr="002B4A91">
        <w:rPr>
          <w:rFonts w:ascii="Calibri" w:hAnsi="Calibri"/>
          <w:sz w:val="22"/>
          <w:szCs w:val="22"/>
        </w:rPr>
        <w:t>Positionen und Argumente der Expert*inne</w:t>
      </w:r>
      <w:r w:rsidR="00546389">
        <w:rPr>
          <w:rFonts w:ascii="Calibri" w:hAnsi="Calibri"/>
          <w:sz w:val="22"/>
          <w:szCs w:val="22"/>
        </w:rPr>
        <w:t>n</w:t>
      </w:r>
      <w:r w:rsidRPr="002B4A91">
        <w:rPr>
          <w:rFonts w:ascii="Calibri" w:hAnsi="Calibri"/>
          <w:sz w:val="22"/>
          <w:szCs w:val="22"/>
        </w:rPr>
        <w:t xml:space="preserve">: </w:t>
      </w:r>
    </w:p>
    <w:p w14:paraId="7A392799" w14:textId="77777777" w:rsidR="008157DA" w:rsidRPr="002B4A91" w:rsidRDefault="008157DA" w:rsidP="008157DA">
      <w:pPr>
        <w:rPr>
          <w:rFonts w:ascii="Calibri" w:hAnsi="Calibri"/>
        </w:rPr>
      </w:pPr>
    </w:p>
    <w:tbl>
      <w:tblPr>
        <w:tblStyle w:val="Tabellenraster"/>
        <w:tblW w:w="9464" w:type="dxa"/>
        <w:tblLook w:val="04A0" w:firstRow="1" w:lastRow="0" w:firstColumn="1" w:lastColumn="0" w:noHBand="0" w:noVBand="1"/>
      </w:tblPr>
      <w:tblGrid>
        <w:gridCol w:w="1980"/>
        <w:gridCol w:w="7484"/>
      </w:tblGrid>
      <w:tr w:rsidR="008157DA" w:rsidRPr="002B4A91" w14:paraId="2E7E9DCA" w14:textId="77777777" w:rsidTr="008157DA">
        <w:trPr>
          <w:trHeight w:val="294"/>
        </w:trPr>
        <w:tc>
          <w:tcPr>
            <w:tcW w:w="1980" w:type="dxa"/>
          </w:tcPr>
          <w:p w14:paraId="7DB10C58" w14:textId="77777777" w:rsidR="008157DA" w:rsidRPr="002B4A91" w:rsidRDefault="008157DA" w:rsidP="00583602">
            <w:pPr>
              <w:rPr>
                <w:rFonts w:ascii="Calibri" w:hAnsi="Calibri" w:cs="_”úÑ˛"/>
                <w:b/>
                <w:bCs/>
                <w:sz w:val="20"/>
                <w:szCs w:val="20"/>
              </w:rPr>
            </w:pPr>
            <w:r w:rsidRPr="002B4A91">
              <w:rPr>
                <w:rFonts w:ascii="Calibri" w:hAnsi="Calibri" w:cs="_”úÑ˛"/>
                <w:b/>
                <w:bCs/>
                <w:sz w:val="20"/>
                <w:szCs w:val="20"/>
              </w:rPr>
              <w:t>Expert*innen</w:t>
            </w:r>
          </w:p>
        </w:tc>
        <w:tc>
          <w:tcPr>
            <w:tcW w:w="7484" w:type="dxa"/>
          </w:tcPr>
          <w:p w14:paraId="0C337E3D" w14:textId="77777777" w:rsidR="008157DA" w:rsidRPr="002B4A91" w:rsidRDefault="008157DA" w:rsidP="00583602">
            <w:pPr>
              <w:rPr>
                <w:rFonts w:ascii="Calibri" w:hAnsi="Calibri"/>
                <w:b/>
                <w:bCs/>
                <w:sz w:val="20"/>
                <w:szCs w:val="20"/>
              </w:rPr>
            </w:pPr>
            <w:r w:rsidRPr="002B4A91">
              <w:rPr>
                <w:rFonts w:ascii="Calibri" w:hAnsi="Calibri"/>
                <w:b/>
                <w:bCs/>
                <w:sz w:val="20"/>
                <w:szCs w:val="20"/>
              </w:rPr>
              <w:t>dargelegte Position und Argumente/(Sprechakte)</w:t>
            </w:r>
          </w:p>
        </w:tc>
      </w:tr>
      <w:tr w:rsidR="008157DA" w:rsidRPr="002B4A91" w14:paraId="41BF4831" w14:textId="77777777" w:rsidTr="008157DA">
        <w:trPr>
          <w:trHeight w:val="833"/>
        </w:trPr>
        <w:tc>
          <w:tcPr>
            <w:tcW w:w="1980" w:type="dxa"/>
          </w:tcPr>
          <w:p w14:paraId="4A7807A1" w14:textId="20EC407C" w:rsidR="008157DA" w:rsidRPr="002B4A91" w:rsidRDefault="0080016A" w:rsidP="00583602">
            <w:pPr>
              <w:rPr>
                <w:rFonts w:ascii="Calibri" w:hAnsi="Calibri"/>
                <w:sz w:val="22"/>
                <w:szCs w:val="22"/>
              </w:rPr>
            </w:pPr>
            <w:r w:rsidRPr="002B4A91">
              <w:rPr>
                <w:rFonts w:ascii="Calibri" w:hAnsi="Calibri" w:cs="_”úÑ˛"/>
                <w:sz w:val="22"/>
                <w:szCs w:val="22"/>
              </w:rPr>
              <w:t>Dr. Kai Unzicker</w:t>
            </w:r>
          </w:p>
        </w:tc>
        <w:tc>
          <w:tcPr>
            <w:tcW w:w="7484" w:type="dxa"/>
          </w:tcPr>
          <w:p w14:paraId="1CC05F77" w14:textId="77777777" w:rsidR="008157DA" w:rsidRDefault="008157DA" w:rsidP="00583602">
            <w:pPr>
              <w:rPr>
                <w:rFonts w:ascii="Calibri" w:hAnsi="Calibri"/>
                <w:sz w:val="22"/>
                <w:szCs w:val="22"/>
              </w:rPr>
            </w:pPr>
          </w:p>
          <w:p w14:paraId="76ED9850" w14:textId="77777777" w:rsidR="00546389" w:rsidRDefault="00546389" w:rsidP="00583602">
            <w:pPr>
              <w:rPr>
                <w:rFonts w:ascii="Calibri" w:hAnsi="Calibri"/>
                <w:sz w:val="22"/>
                <w:szCs w:val="22"/>
              </w:rPr>
            </w:pPr>
          </w:p>
          <w:p w14:paraId="57D9C1C4" w14:textId="77777777" w:rsidR="00546389" w:rsidRDefault="00546389" w:rsidP="00583602">
            <w:pPr>
              <w:rPr>
                <w:rFonts w:ascii="Calibri" w:hAnsi="Calibri"/>
                <w:sz w:val="22"/>
                <w:szCs w:val="22"/>
              </w:rPr>
            </w:pPr>
          </w:p>
          <w:p w14:paraId="7BA6C646" w14:textId="77777777" w:rsidR="00546389" w:rsidRDefault="00546389" w:rsidP="00583602">
            <w:pPr>
              <w:rPr>
                <w:rFonts w:ascii="Calibri" w:hAnsi="Calibri"/>
                <w:sz w:val="22"/>
                <w:szCs w:val="22"/>
              </w:rPr>
            </w:pPr>
          </w:p>
          <w:p w14:paraId="79C97CA2" w14:textId="57EB5EF5" w:rsidR="00546389" w:rsidRPr="002B4A91" w:rsidRDefault="00546389" w:rsidP="00583602">
            <w:pPr>
              <w:rPr>
                <w:rFonts w:ascii="Calibri" w:hAnsi="Calibri"/>
                <w:sz w:val="22"/>
                <w:szCs w:val="22"/>
              </w:rPr>
            </w:pPr>
          </w:p>
        </w:tc>
      </w:tr>
      <w:tr w:rsidR="008157DA" w:rsidRPr="002B4A91" w14:paraId="32AA3141" w14:textId="77777777" w:rsidTr="008157DA">
        <w:trPr>
          <w:trHeight w:val="833"/>
        </w:trPr>
        <w:tc>
          <w:tcPr>
            <w:tcW w:w="1980" w:type="dxa"/>
          </w:tcPr>
          <w:p w14:paraId="62193CB6" w14:textId="77777777" w:rsidR="0080016A" w:rsidRPr="002B4A91" w:rsidRDefault="0080016A" w:rsidP="0080016A">
            <w:pPr>
              <w:rPr>
                <w:rFonts w:ascii="Calibri" w:hAnsi="Calibri" w:cs="_”úÑ˛"/>
                <w:sz w:val="22"/>
                <w:szCs w:val="22"/>
              </w:rPr>
            </w:pPr>
            <w:r w:rsidRPr="002B4A91">
              <w:rPr>
                <w:rFonts w:ascii="Calibri" w:hAnsi="Calibri" w:cs="_”úÑ˛"/>
                <w:sz w:val="22"/>
                <w:szCs w:val="22"/>
              </w:rPr>
              <w:t xml:space="preserve">Peter Graf </w:t>
            </w:r>
          </w:p>
          <w:p w14:paraId="624144A8" w14:textId="7D3AFC10" w:rsidR="008157DA" w:rsidRPr="002B4A91" w:rsidRDefault="0080016A" w:rsidP="0080016A">
            <w:pPr>
              <w:rPr>
                <w:rFonts w:ascii="Calibri" w:hAnsi="Calibri"/>
                <w:sz w:val="22"/>
                <w:szCs w:val="22"/>
              </w:rPr>
            </w:pPr>
            <w:r w:rsidRPr="002B4A91">
              <w:rPr>
                <w:rFonts w:ascii="Calibri" w:hAnsi="Calibri" w:cs="_”úÑ˛"/>
                <w:sz w:val="22"/>
                <w:szCs w:val="22"/>
              </w:rPr>
              <w:t xml:space="preserve">von </w:t>
            </w:r>
            <w:proofErr w:type="spellStart"/>
            <w:r w:rsidRPr="002B4A91">
              <w:rPr>
                <w:rFonts w:ascii="Calibri" w:hAnsi="Calibri" w:cs="_”úÑ˛"/>
                <w:sz w:val="22"/>
                <w:szCs w:val="22"/>
              </w:rPr>
              <w:t>Kielmannsegg</w:t>
            </w:r>
            <w:proofErr w:type="spellEnd"/>
          </w:p>
        </w:tc>
        <w:tc>
          <w:tcPr>
            <w:tcW w:w="7484" w:type="dxa"/>
          </w:tcPr>
          <w:p w14:paraId="6088C9F1" w14:textId="77777777" w:rsidR="008157DA" w:rsidRDefault="008157DA" w:rsidP="00583602">
            <w:pPr>
              <w:rPr>
                <w:rFonts w:ascii="Calibri" w:hAnsi="Calibri"/>
                <w:sz w:val="22"/>
                <w:szCs w:val="22"/>
              </w:rPr>
            </w:pPr>
          </w:p>
          <w:p w14:paraId="036DCB0F" w14:textId="77777777" w:rsidR="00546389" w:rsidRDefault="00546389" w:rsidP="00583602">
            <w:pPr>
              <w:rPr>
                <w:rFonts w:ascii="Calibri" w:hAnsi="Calibri"/>
                <w:sz w:val="22"/>
                <w:szCs w:val="22"/>
              </w:rPr>
            </w:pPr>
          </w:p>
          <w:p w14:paraId="5C97E307" w14:textId="77777777" w:rsidR="00546389" w:rsidRDefault="00546389" w:rsidP="00583602">
            <w:pPr>
              <w:rPr>
                <w:rFonts w:ascii="Calibri" w:hAnsi="Calibri"/>
                <w:sz w:val="22"/>
                <w:szCs w:val="22"/>
              </w:rPr>
            </w:pPr>
          </w:p>
          <w:p w14:paraId="334F3CD3" w14:textId="77777777" w:rsidR="00546389" w:rsidRDefault="00546389" w:rsidP="00583602">
            <w:pPr>
              <w:rPr>
                <w:rFonts w:ascii="Calibri" w:hAnsi="Calibri"/>
                <w:sz w:val="22"/>
                <w:szCs w:val="22"/>
              </w:rPr>
            </w:pPr>
          </w:p>
          <w:p w14:paraId="7CF3DE75" w14:textId="49ED652D" w:rsidR="00546389" w:rsidRPr="002B4A91" w:rsidRDefault="00546389" w:rsidP="00583602">
            <w:pPr>
              <w:rPr>
                <w:rFonts w:ascii="Calibri" w:hAnsi="Calibri"/>
                <w:sz w:val="22"/>
                <w:szCs w:val="22"/>
              </w:rPr>
            </w:pPr>
          </w:p>
        </w:tc>
      </w:tr>
      <w:tr w:rsidR="008157DA" w:rsidRPr="002B4A91" w14:paraId="03D82E38" w14:textId="77777777" w:rsidTr="008157DA">
        <w:trPr>
          <w:trHeight w:val="971"/>
        </w:trPr>
        <w:tc>
          <w:tcPr>
            <w:tcW w:w="1980" w:type="dxa"/>
          </w:tcPr>
          <w:p w14:paraId="4956CA24" w14:textId="02D9CEF2" w:rsidR="008157DA" w:rsidRPr="002B4A91" w:rsidRDefault="0080016A" w:rsidP="00583602">
            <w:pPr>
              <w:rPr>
                <w:rFonts w:ascii="Calibri" w:hAnsi="Calibri"/>
                <w:sz w:val="22"/>
                <w:szCs w:val="22"/>
              </w:rPr>
            </w:pPr>
            <w:r w:rsidRPr="002B4A91">
              <w:rPr>
                <w:rFonts w:ascii="Calibri" w:hAnsi="Calibri" w:cs="_”úÑ˛"/>
                <w:sz w:val="22"/>
                <w:szCs w:val="22"/>
              </w:rPr>
              <w:t>Alexander Grau</w:t>
            </w:r>
          </w:p>
        </w:tc>
        <w:tc>
          <w:tcPr>
            <w:tcW w:w="7484" w:type="dxa"/>
          </w:tcPr>
          <w:p w14:paraId="1F8B339B" w14:textId="77777777" w:rsidR="008157DA" w:rsidRDefault="008157DA" w:rsidP="008157DA">
            <w:pPr>
              <w:ind w:right="962"/>
              <w:rPr>
                <w:rFonts w:ascii="Calibri" w:hAnsi="Calibri"/>
                <w:sz w:val="22"/>
                <w:szCs w:val="22"/>
              </w:rPr>
            </w:pPr>
          </w:p>
          <w:p w14:paraId="62D6A601" w14:textId="77777777" w:rsidR="00546389" w:rsidRDefault="00546389" w:rsidP="008157DA">
            <w:pPr>
              <w:ind w:right="962"/>
              <w:rPr>
                <w:rFonts w:ascii="Calibri" w:hAnsi="Calibri"/>
                <w:sz w:val="22"/>
                <w:szCs w:val="22"/>
              </w:rPr>
            </w:pPr>
          </w:p>
          <w:p w14:paraId="4A0950E2" w14:textId="77777777" w:rsidR="00546389" w:rsidRDefault="00546389" w:rsidP="008157DA">
            <w:pPr>
              <w:ind w:right="962"/>
              <w:rPr>
                <w:rFonts w:ascii="Calibri" w:hAnsi="Calibri"/>
                <w:sz w:val="22"/>
                <w:szCs w:val="22"/>
              </w:rPr>
            </w:pPr>
          </w:p>
          <w:p w14:paraId="195A7541" w14:textId="77777777" w:rsidR="00546389" w:rsidRDefault="00546389" w:rsidP="008157DA">
            <w:pPr>
              <w:ind w:right="962"/>
              <w:rPr>
                <w:rFonts w:ascii="Calibri" w:hAnsi="Calibri"/>
                <w:sz w:val="22"/>
                <w:szCs w:val="22"/>
              </w:rPr>
            </w:pPr>
          </w:p>
          <w:p w14:paraId="21959DEC" w14:textId="6270B847" w:rsidR="00546389" w:rsidRPr="002B4A91" w:rsidRDefault="00546389" w:rsidP="008157DA">
            <w:pPr>
              <w:ind w:right="962"/>
              <w:rPr>
                <w:rFonts w:ascii="Calibri" w:hAnsi="Calibri"/>
                <w:sz w:val="22"/>
                <w:szCs w:val="22"/>
              </w:rPr>
            </w:pPr>
          </w:p>
        </w:tc>
      </w:tr>
      <w:tr w:rsidR="0080016A" w:rsidRPr="002B4A91" w14:paraId="50F994CB" w14:textId="77777777" w:rsidTr="008157DA">
        <w:trPr>
          <w:trHeight w:val="833"/>
        </w:trPr>
        <w:tc>
          <w:tcPr>
            <w:tcW w:w="1980" w:type="dxa"/>
          </w:tcPr>
          <w:p w14:paraId="1771D8C3" w14:textId="60A99B8F" w:rsidR="0080016A" w:rsidRPr="002B4A91" w:rsidRDefault="0080016A" w:rsidP="0080016A">
            <w:pPr>
              <w:rPr>
                <w:rFonts w:ascii="Calibri" w:hAnsi="Calibri"/>
                <w:sz w:val="22"/>
                <w:szCs w:val="22"/>
              </w:rPr>
            </w:pPr>
            <w:r w:rsidRPr="002B4A91">
              <w:rPr>
                <w:rFonts w:ascii="Calibri" w:hAnsi="Calibri" w:cs="_”úÑ˛"/>
                <w:sz w:val="22"/>
                <w:szCs w:val="22"/>
              </w:rPr>
              <w:t>Wolfgang Merkel</w:t>
            </w:r>
          </w:p>
        </w:tc>
        <w:tc>
          <w:tcPr>
            <w:tcW w:w="7484" w:type="dxa"/>
          </w:tcPr>
          <w:p w14:paraId="44EAF0EE" w14:textId="77777777" w:rsidR="0080016A" w:rsidRDefault="0080016A" w:rsidP="0080016A">
            <w:pPr>
              <w:rPr>
                <w:rFonts w:ascii="Calibri" w:hAnsi="Calibri"/>
                <w:sz w:val="22"/>
                <w:szCs w:val="22"/>
              </w:rPr>
            </w:pPr>
          </w:p>
          <w:p w14:paraId="4DEB6BAC" w14:textId="77777777" w:rsidR="00546389" w:rsidRDefault="00546389" w:rsidP="0080016A">
            <w:pPr>
              <w:rPr>
                <w:rFonts w:ascii="Calibri" w:hAnsi="Calibri"/>
                <w:sz w:val="22"/>
                <w:szCs w:val="22"/>
              </w:rPr>
            </w:pPr>
          </w:p>
          <w:p w14:paraId="0497C640" w14:textId="77777777" w:rsidR="00546389" w:rsidRDefault="00546389" w:rsidP="0080016A">
            <w:pPr>
              <w:rPr>
                <w:rFonts w:ascii="Calibri" w:hAnsi="Calibri"/>
                <w:sz w:val="22"/>
                <w:szCs w:val="22"/>
              </w:rPr>
            </w:pPr>
          </w:p>
          <w:p w14:paraId="24901DFE" w14:textId="77777777" w:rsidR="00546389" w:rsidRDefault="00546389" w:rsidP="0080016A">
            <w:pPr>
              <w:rPr>
                <w:rFonts w:ascii="Calibri" w:hAnsi="Calibri"/>
                <w:sz w:val="22"/>
                <w:szCs w:val="22"/>
              </w:rPr>
            </w:pPr>
          </w:p>
          <w:p w14:paraId="05957015" w14:textId="4D9D3F3E" w:rsidR="00546389" w:rsidRPr="002B4A91" w:rsidRDefault="00546389" w:rsidP="0080016A">
            <w:pPr>
              <w:rPr>
                <w:rFonts w:ascii="Calibri" w:hAnsi="Calibri"/>
                <w:sz w:val="22"/>
                <w:szCs w:val="22"/>
              </w:rPr>
            </w:pPr>
          </w:p>
        </w:tc>
      </w:tr>
      <w:tr w:rsidR="0080016A" w:rsidRPr="002B4A91" w14:paraId="25EBE0C3" w14:textId="77777777" w:rsidTr="008157DA">
        <w:trPr>
          <w:trHeight w:val="793"/>
        </w:trPr>
        <w:tc>
          <w:tcPr>
            <w:tcW w:w="1980" w:type="dxa"/>
          </w:tcPr>
          <w:p w14:paraId="71395E74" w14:textId="77777777" w:rsidR="0080016A" w:rsidRDefault="0080016A" w:rsidP="0080016A">
            <w:pPr>
              <w:rPr>
                <w:rFonts w:ascii="Calibri" w:hAnsi="Calibri" w:cs="_”úÑ˛"/>
                <w:sz w:val="22"/>
                <w:szCs w:val="22"/>
              </w:rPr>
            </w:pPr>
            <w:r>
              <w:rPr>
                <w:rFonts w:ascii="Calibri" w:hAnsi="Calibri" w:cs="_”úÑ˛"/>
                <w:sz w:val="22"/>
                <w:szCs w:val="22"/>
              </w:rPr>
              <w:t xml:space="preserve">Margarete </w:t>
            </w:r>
          </w:p>
          <w:p w14:paraId="11CE0E4F" w14:textId="4D55D781" w:rsidR="0080016A" w:rsidRPr="002B4A91" w:rsidRDefault="0080016A" w:rsidP="0080016A">
            <w:pPr>
              <w:rPr>
                <w:rFonts w:ascii="Calibri" w:hAnsi="Calibri" w:cs="_”úÑ˛"/>
                <w:sz w:val="22"/>
                <w:szCs w:val="22"/>
              </w:rPr>
            </w:pPr>
            <w:r>
              <w:rPr>
                <w:rFonts w:ascii="Calibri" w:hAnsi="Calibri" w:cs="_”úÑ˛"/>
                <w:sz w:val="22"/>
                <w:szCs w:val="22"/>
              </w:rPr>
              <w:t>Stokowski</w:t>
            </w:r>
          </w:p>
        </w:tc>
        <w:tc>
          <w:tcPr>
            <w:tcW w:w="7484" w:type="dxa"/>
          </w:tcPr>
          <w:p w14:paraId="46CDE8E0" w14:textId="77777777" w:rsidR="0080016A" w:rsidRDefault="0080016A" w:rsidP="0080016A">
            <w:pPr>
              <w:rPr>
                <w:rFonts w:ascii="Calibri" w:hAnsi="Calibri"/>
                <w:sz w:val="22"/>
                <w:szCs w:val="22"/>
              </w:rPr>
            </w:pPr>
          </w:p>
          <w:p w14:paraId="10BECE10" w14:textId="77777777" w:rsidR="00546389" w:rsidRDefault="00546389" w:rsidP="0080016A">
            <w:pPr>
              <w:rPr>
                <w:rFonts w:ascii="Calibri" w:hAnsi="Calibri"/>
                <w:sz w:val="22"/>
                <w:szCs w:val="22"/>
              </w:rPr>
            </w:pPr>
          </w:p>
          <w:p w14:paraId="65AAFEF9" w14:textId="77777777" w:rsidR="00546389" w:rsidRDefault="00546389" w:rsidP="0080016A">
            <w:pPr>
              <w:rPr>
                <w:rFonts w:ascii="Calibri" w:hAnsi="Calibri"/>
                <w:sz w:val="22"/>
                <w:szCs w:val="22"/>
              </w:rPr>
            </w:pPr>
          </w:p>
          <w:p w14:paraId="02C20BDD" w14:textId="77777777" w:rsidR="00546389" w:rsidRDefault="00546389" w:rsidP="0080016A">
            <w:pPr>
              <w:rPr>
                <w:rFonts w:ascii="Calibri" w:hAnsi="Calibri"/>
                <w:sz w:val="22"/>
                <w:szCs w:val="22"/>
              </w:rPr>
            </w:pPr>
          </w:p>
          <w:p w14:paraId="2907A905" w14:textId="6C0479D0" w:rsidR="00546389" w:rsidRPr="002B4A91" w:rsidRDefault="00546389" w:rsidP="0080016A">
            <w:pPr>
              <w:rPr>
                <w:rFonts w:ascii="Calibri" w:hAnsi="Calibri"/>
                <w:sz w:val="22"/>
                <w:szCs w:val="22"/>
              </w:rPr>
            </w:pPr>
          </w:p>
        </w:tc>
      </w:tr>
      <w:tr w:rsidR="0080016A" w:rsidRPr="002B4A91" w14:paraId="134373FB" w14:textId="77777777" w:rsidTr="008157DA">
        <w:trPr>
          <w:trHeight w:val="833"/>
        </w:trPr>
        <w:tc>
          <w:tcPr>
            <w:tcW w:w="1980" w:type="dxa"/>
          </w:tcPr>
          <w:p w14:paraId="651A584D" w14:textId="2136B3F9" w:rsidR="0080016A" w:rsidRPr="002B4A91" w:rsidRDefault="0080016A" w:rsidP="0080016A">
            <w:pPr>
              <w:rPr>
                <w:rFonts w:ascii="Calibri" w:hAnsi="Calibri" w:cs="_”úÑ˛"/>
                <w:sz w:val="22"/>
                <w:szCs w:val="22"/>
              </w:rPr>
            </w:pPr>
            <w:r w:rsidRPr="002B4A91">
              <w:rPr>
                <w:rFonts w:ascii="Calibri" w:hAnsi="Calibri" w:cs="_”úÑ˛"/>
                <w:sz w:val="22"/>
                <w:szCs w:val="22"/>
              </w:rPr>
              <w:t xml:space="preserve">Ingo von </w:t>
            </w:r>
            <w:proofErr w:type="spellStart"/>
            <w:r w:rsidRPr="002B4A91">
              <w:rPr>
                <w:rFonts w:ascii="Calibri" w:hAnsi="Calibri" w:cs="_”úÑ˛"/>
                <w:sz w:val="22"/>
                <w:szCs w:val="22"/>
              </w:rPr>
              <w:t>Münch</w:t>
            </w:r>
            <w:proofErr w:type="spellEnd"/>
          </w:p>
        </w:tc>
        <w:tc>
          <w:tcPr>
            <w:tcW w:w="7484" w:type="dxa"/>
          </w:tcPr>
          <w:p w14:paraId="69EF9345" w14:textId="77777777" w:rsidR="0080016A" w:rsidRDefault="0080016A" w:rsidP="0080016A">
            <w:pPr>
              <w:rPr>
                <w:rFonts w:ascii="Calibri" w:hAnsi="Calibri"/>
                <w:sz w:val="22"/>
                <w:szCs w:val="22"/>
              </w:rPr>
            </w:pPr>
          </w:p>
          <w:p w14:paraId="20A7AB10" w14:textId="77777777" w:rsidR="00546389" w:rsidRDefault="00546389" w:rsidP="0080016A">
            <w:pPr>
              <w:rPr>
                <w:rFonts w:ascii="Calibri" w:hAnsi="Calibri"/>
                <w:sz w:val="22"/>
                <w:szCs w:val="22"/>
              </w:rPr>
            </w:pPr>
          </w:p>
          <w:p w14:paraId="32223E8B" w14:textId="77777777" w:rsidR="00546389" w:rsidRDefault="00546389" w:rsidP="0080016A">
            <w:pPr>
              <w:rPr>
                <w:rFonts w:ascii="Calibri" w:hAnsi="Calibri"/>
                <w:sz w:val="22"/>
                <w:szCs w:val="22"/>
              </w:rPr>
            </w:pPr>
          </w:p>
          <w:p w14:paraId="5B4E8A5F" w14:textId="77777777" w:rsidR="00546389" w:rsidRDefault="00546389" w:rsidP="0080016A">
            <w:pPr>
              <w:rPr>
                <w:rFonts w:ascii="Calibri" w:hAnsi="Calibri"/>
                <w:sz w:val="22"/>
                <w:szCs w:val="22"/>
              </w:rPr>
            </w:pPr>
          </w:p>
          <w:p w14:paraId="3EBA7C68" w14:textId="66C62A38" w:rsidR="00546389" w:rsidRPr="002B4A91" w:rsidRDefault="00546389" w:rsidP="0080016A">
            <w:pPr>
              <w:rPr>
                <w:rFonts w:ascii="Calibri" w:hAnsi="Calibri"/>
                <w:sz w:val="22"/>
                <w:szCs w:val="22"/>
              </w:rPr>
            </w:pPr>
          </w:p>
        </w:tc>
      </w:tr>
    </w:tbl>
    <w:p w14:paraId="50E3FF4B" w14:textId="6F1F4B28" w:rsidR="008157DA" w:rsidRDefault="008157DA" w:rsidP="008157DA"/>
    <w:p w14:paraId="1E9325E9" w14:textId="77777777" w:rsidR="00546389" w:rsidRDefault="00546389" w:rsidP="008157DA"/>
    <w:p w14:paraId="53D6C26A" w14:textId="49FE46B4" w:rsidR="008157DA" w:rsidRPr="002B4A91" w:rsidRDefault="00546389" w:rsidP="008157DA">
      <w:pPr>
        <w:pStyle w:val="Listenabsatz"/>
        <w:numPr>
          <w:ilvl w:val="0"/>
          <w:numId w:val="57"/>
        </w:numPr>
        <w:spacing w:after="0" w:line="240" w:lineRule="auto"/>
        <w:rPr>
          <w:rFonts w:ascii="Calibri" w:hAnsi="Calibri"/>
          <w:sz w:val="22"/>
          <w:szCs w:val="22"/>
        </w:rPr>
      </w:pPr>
      <w:r>
        <w:rPr>
          <w:rFonts w:ascii="Calibri" w:hAnsi="Calibri"/>
          <w:sz w:val="22"/>
          <w:szCs w:val="22"/>
        </w:rPr>
        <w:t>Eigene Gedanken zur Diskussion und den im Text</w:t>
      </w:r>
      <w:r w:rsidR="008157DA" w:rsidRPr="002B4A91">
        <w:rPr>
          <w:rFonts w:ascii="Calibri" w:hAnsi="Calibri"/>
          <w:sz w:val="22"/>
          <w:szCs w:val="22"/>
        </w:rPr>
        <w:t xml:space="preserve"> genannt</w:t>
      </w:r>
      <w:r>
        <w:rPr>
          <w:rFonts w:ascii="Calibri" w:hAnsi="Calibri"/>
          <w:sz w:val="22"/>
          <w:szCs w:val="22"/>
        </w:rPr>
        <w:t>en Argumenten</w:t>
      </w:r>
      <w:r w:rsidR="008157DA" w:rsidRPr="002B4A91">
        <w:rPr>
          <w:rFonts w:ascii="Calibri" w:hAnsi="Calibri"/>
          <w:sz w:val="22"/>
          <w:szCs w:val="22"/>
        </w:rPr>
        <w:t xml:space="preserve">: </w:t>
      </w:r>
    </w:p>
    <w:p w14:paraId="0114D7F2" w14:textId="77777777" w:rsidR="008157DA" w:rsidRDefault="008157DA" w:rsidP="008157DA">
      <w:pPr>
        <w:pStyle w:val="Listenabsatz"/>
        <w:spacing w:after="0" w:line="240" w:lineRule="auto"/>
      </w:pPr>
    </w:p>
    <w:p w14:paraId="70ED448B" w14:textId="77777777" w:rsidR="008157DA" w:rsidRDefault="008157DA" w:rsidP="008157DA"/>
    <w:tbl>
      <w:tblPr>
        <w:tblStyle w:val="Tabellenraster"/>
        <w:tblW w:w="9738" w:type="dxa"/>
        <w:tblBorders>
          <w:left w:val="none" w:sz="0" w:space="0" w:color="auto"/>
          <w:right w:val="none" w:sz="0" w:space="0" w:color="auto"/>
        </w:tblBorders>
        <w:tblLook w:val="04A0" w:firstRow="1" w:lastRow="0" w:firstColumn="1" w:lastColumn="0" w:noHBand="0" w:noVBand="1"/>
      </w:tblPr>
      <w:tblGrid>
        <w:gridCol w:w="9738"/>
      </w:tblGrid>
      <w:tr w:rsidR="008157DA" w14:paraId="0BBBC01F" w14:textId="77777777" w:rsidTr="00583602">
        <w:trPr>
          <w:trHeight w:val="403"/>
        </w:trPr>
        <w:tc>
          <w:tcPr>
            <w:tcW w:w="9738" w:type="dxa"/>
          </w:tcPr>
          <w:p w14:paraId="596B7D88" w14:textId="77777777" w:rsidR="008157DA" w:rsidRDefault="008157DA" w:rsidP="00583602"/>
        </w:tc>
      </w:tr>
      <w:tr w:rsidR="008157DA" w14:paraId="18BDE4AB" w14:textId="77777777" w:rsidTr="00583602">
        <w:trPr>
          <w:trHeight w:val="384"/>
        </w:trPr>
        <w:tc>
          <w:tcPr>
            <w:tcW w:w="9738" w:type="dxa"/>
          </w:tcPr>
          <w:p w14:paraId="3CC62673" w14:textId="77777777" w:rsidR="008157DA" w:rsidRDefault="008157DA" w:rsidP="00583602"/>
        </w:tc>
      </w:tr>
      <w:tr w:rsidR="008157DA" w14:paraId="159113A6" w14:textId="77777777" w:rsidTr="00583602">
        <w:trPr>
          <w:trHeight w:val="384"/>
        </w:trPr>
        <w:tc>
          <w:tcPr>
            <w:tcW w:w="9738" w:type="dxa"/>
          </w:tcPr>
          <w:p w14:paraId="62B35A03" w14:textId="77777777" w:rsidR="008157DA" w:rsidRDefault="008157DA" w:rsidP="00583602"/>
        </w:tc>
      </w:tr>
      <w:tr w:rsidR="00546389" w14:paraId="7EB719AE" w14:textId="77777777" w:rsidTr="00583602">
        <w:trPr>
          <w:trHeight w:val="384"/>
        </w:trPr>
        <w:tc>
          <w:tcPr>
            <w:tcW w:w="9738" w:type="dxa"/>
          </w:tcPr>
          <w:p w14:paraId="4BD3281F" w14:textId="77777777" w:rsidR="00546389" w:rsidRDefault="00546389" w:rsidP="00583602"/>
        </w:tc>
      </w:tr>
      <w:tr w:rsidR="00546389" w14:paraId="11AE2123" w14:textId="77777777" w:rsidTr="00583602">
        <w:trPr>
          <w:trHeight w:val="384"/>
        </w:trPr>
        <w:tc>
          <w:tcPr>
            <w:tcW w:w="9738" w:type="dxa"/>
          </w:tcPr>
          <w:p w14:paraId="1663E753" w14:textId="77777777" w:rsidR="00546389" w:rsidRDefault="00546389" w:rsidP="00583602"/>
        </w:tc>
      </w:tr>
      <w:tr w:rsidR="00546389" w14:paraId="7355AED3" w14:textId="77777777" w:rsidTr="00583602">
        <w:trPr>
          <w:trHeight w:val="384"/>
        </w:trPr>
        <w:tc>
          <w:tcPr>
            <w:tcW w:w="9738" w:type="dxa"/>
          </w:tcPr>
          <w:p w14:paraId="2D5A1147" w14:textId="77777777" w:rsidR="00546389" w:rsidRDefault="00546389" w:rsidP="00583602"/>
        </w:tc>
      </w:tr>
    </w:tbl>
    <w:p w14:paraId="47FA3442" w14:textId="77777777" w:rsidR="008157DA" w:rsidRDefault="008157DA" w:rsidP="008157DA"/>
    <w:p w14:paraId="64B3B465" w14:textId="77777777" w:rsidR="008157DA" w:rsidRDefault="008157DA" w:rsidP="008157DA">
      <w:pPr>
        <w:jc w:val="center"/>
        <w:rPr>
          <w:rFonts w:ascii="Calibri" w:hAnsi="Calibri" w:cs="Arial"/>
        </w:rPr>
      </w:pPr>
    </w:p>
    <w:p w14:paraId="297B7BDC" w14:textId="4A260DC8" w:rsidR="008157DA" w:rsidRDefault="008157DA" w:rsidP="008157DA">
      <w:pPr>
        <w:jc w:val="center"/>
        <w:rPr>
          <w:rFonts w:ascii="Calibri" w:hAnsi="Calibri" w:cs="Arial"/>
        </w:rPr>
      </w:pPr>
      <w:r>
        <w:rPr>
          <w:rFonts w:ascii="Calibri" w:hAnsi="Calibri" w:cs="Arial"/>
        </w:rPr>
        <w:t>Formulierungshilfen zur Darstellung der Argumentationsstruktur und der Sprechakte</w:t>
      </w:r>
    </w:p>
    <w:p w14:paraId="014B5EF9" w14:textId="77777777" w:rsidR="008157DA" w:rsidRDefault="008157DA" w:rsidP="008157DA">
      <w:pPr>
        <w:jc w:val="center"/>
        <w:rPr>
          <w:rFonts w:ascii="Calibri" w:hAnsi="Calibri" w:cs="Arial"/>
        </w:rPr>
      </w:pPr>
    </w:p>
    <w:p w14:paraId="438724D6" w14:textId="77777777" w:rsidR="008157DA" w:rsidRPr="008F7DB3" w:rsidRDefault="008157DA" w:rsidP="008157DA"/>
    <w:p w14:paraId="329D104B"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nennen, vorbringen</w:t>
      </w:r>
    </w:p>
    <w:p w14:paraId="4E86D76D"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erläutern</w:t>
      </w:r>
    </w:p>
    <w:p w14:paraId="260343B2"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erklären</w:t>
      </w:r>
    </w:p>
    <w:p w14:paraId="6648C7FF"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analysieren</w:t>
      </w:r>
      <w:r w:rsidRPr="00133707">
        <w:rPr>
          <w:rFonts w:ascii="Calibri" w:hAnsi="Calibri" w:cs="Arial"/>
          <w:sz w:val="15"/>
          <w:szCs w:val="15"/>
        </w:rPr>
        <w:tab/>
      </w:r>
    </w:p>
    <w:p w14:paraId="112D74A8"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zurückblicken</w:t>
      </w:r>
    </w:p>
    <w:p w14:paraId="17E0FD8B"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vergleichen</w:t>
      </w:r>
      <w:r w:rsidRPr="00133707">
        <w:rPr>
          <w:rFonts w:ascii="Calibri" w:hAnsi="Calibri" w:cs="Arial"/>
          <w:sz w:val="15"/>
          <w:szCs w:val="15"/>
        </w:rPr>
        <w:tab/>
      </w:r>
    </w:p>
    <w:p w14:paraId="2D6B6CED"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fragen</w:t>
      </w:r>
      <w:r w:rsidRPr="00133707">
        <w:rPr>
          <w:rFonts w:ascii="Calibri" w:hAnsi="Calibri" w:cs="Arial"/>
          <w:sz w:val="15"/>
          <w:szCs w:val="15"/>
        </w:rPr>
        <w:tab/>
      </w:r>
    </w:p>
    <w:p w14:paraId="0D3E991E"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zugestehen</w:t>
      </w:r>
      <w:r w:rsidRPr="00133707">
        <w:rPr>
          <w:rFonts w:ascii="Calibri" w:hAnsi="Calibri" w:cs="Arial"/>
          <w:sz w:val="15"/>
          <w:szCs w:val="15"/>
        </w:rPr>
        <w:tab/>
      </w:r>
    </w:p>
    <w:p w14:paraId="3584BF48"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einschränken</w:t>
      </w:r>
      <w:r w:rsidRPr="00133707">
        <w:rPr>
          <w:rFonts w:ascii="Calibri" w:hAnsi="Calibri" w:cs="Arial"/>
          <w:sz w:val="15"/>
          <w:szCs w:val="15"/>
        </w:rPr>
        <w:tab/>
      </w:r>
    </w:p>
    <w:p w14:paraId="40AB0D84"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vermuten/</w:t>
      </w:r>
      <w:r w:rsidRPr="00133707">
        <w:rPr>
          <w:rFonts w:ascii="Calibri" w:hAnsi="Calibri" w:cs="Arial"/>
          <w:sz w:val="15"/>
          <w:szCs w:val="15"/>
        </w:rPr>
        <w:br/>
        <w:t>mutmaßen</w:t>
      </w:r>
    </w:p>
    <w:p w14:paraId="7D324B0E"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ein Beispiel geben</w:t>
      </w:r>
    </w:p>
    <w:p w14:paraId="0D764A94"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behaupten</w:t>
      </w:r>
      <w:r w:rsidRPr="00133707">
        <w:rPr>
          <w:rFonts w:ascii="Calibri" w:hAnsi="Calibri" w:cs="Arial"/>
          <w:sz w:val="15"/>
          <w:szCs w:val="15"/>
        </w:rPr>
        <w:tab/>
      </w:r>
    </w:p>
    <w:p w14:paraId="0E17D83A"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begründen</w:t>
      </w:r>
    </w:p>
    <w:p w14:paraId="43CECEFC"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bewerten</w:t>
      </w:r>
    </w:p>
    <w:p w14:paraId="6FE76FF0"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zusammenfassen</w:t>
      </w:r>
      <w:r w:rsidRPr="00133707">
        <w:rPr>
          <w:rFonts w:ascii="Calibri" w:hAnsi="Calibri" w:cs="Arial"/>
          <w:sz w:val="15"/>
          <w:szCs w:val="15"/>
        </w:rPr>
        <w:tab/>
      </w:r>
    </w:p>
    <w:p w14:paraId="1CBE3497"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appellieren</w:t>
      </w:r>
    </w:p>
    <w:p w14:paraId="47F435A2"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vorschlagen</w:t>
      </w:r>
      <w:r w:rsidRPr="00133707">
        <w:rPr>
          <w:rFonts w:ascii="Calibri" w:hAnsi="Calibri" w:cs="Arial"/>
          <w:sz w:val="15"/>
          <w:szCs w:val="15"/>
        </w:rPr>
        <w:tab/>
      </w:r>
    </w:p>
    <w:p w14:paraId="7EBA6B34"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schlussfolgern</w:t>
      </w:r>
      <w:r w:rsidRPr="00133707">
        <w:rPr>
          <w:rFonts w:ascii="Calibri" w:hAnsi="Calibri" w:cs="Arial"/>
          <w:sz w:val="15"/>
          <w:szCs w:val="15"/>
        </w:rPr>
        <w:tab/>
      </w:r>
    </w:p>
    <w:p w14:paraId="50AFA48C"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prognostizieren</w:t>
      </w:r>
    </w:p>
    <w:p w14:paraId="7D487608"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warnen</w:t>
      </w:r>
      <w:r w:rsidRPr="00133707">
        <w:rPr>
          <w:rFonts w:ascii="Calibri" w:hAnsi="Calibri" w:cs="Arial"/>
          <w:sz w:val="15"/>
          <w:szCs w:val="15"/>
        </w:rPr>
        <w:tab/>
      </w:r>
      <w:r w:rsidRPr="00133707">
        <w:rPr>
          <w:rFonts w:ascii="Calibri" w:hAnsi="Calibri" w:cs="Arial"/>
          <w:sz w:val="15"/>
          <w:szCs w:val="15"/>
        </w:rPr>
        <w:tab/>
      </w:r>
    </w:p>
    <w:p w14:paraId="5FE515AD"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wünschen</w:t>
      </w:r>
      <w:r w:rsidRPr="00133707">
        <w:rPr>
          <w:rFonts w:ascii="Calibri" w:hAnsi="Calibri" w:cs="Arial"/>
          <w:sz w:val="15"/>
          <w:szCs w:val="15"/>
        </w:rPr>
        <w:tab/>
      </w:r>
    </w:p>
    <w:p w14:paraId="727D88F4"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hervorheben</w:t>
      </w:r>
    </w:p>
    <w:p w14:paraId="54FBE330"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sz w:val="15"/>
          <w:szCs w:val="15"/>
        </w:rPr>
        <w:t>problematisieren</w:t>
      </w:r>
      <w:r w:rsidRPr="00133707">
        <w:rPr>
          <w:rFonts w:ascii="Calibri" w:hAnsi="Calibri"/>
          <w:sz w:val="15"/>
          <w:szCs w:val="15"/>
        </w:rPr>
        <w:tab/>
      </w:r>
    </w:p>
    <w:p w14:paraId="5E478DAA"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sz w:val="15"/>
          <w:szCs w:val="15"/>
        </w:rPr>
        <w:t>kritisieren</w:t>
      </w:r>
      <w:r w:rsidRPr="00133707">
        <w:rPr>
          <w:rFonts w:ascii="Calibri" w:hAnsi="Calibri"/>
          <w:sz w:val="15"/>
          <w:szCs w:val="15"/>
        </w:rPr>
        <w:tab/>
      </w:r>
    </w:p>
    <w:p w14:paraId="7A129BCE"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sz w:val="15"/>
          <w:szCs w:val="15"/>
        </w:rPr>
        <w:t>definieren</w:t>
      </w:r>
      <w:r>
        <w:rPr>
          <w:rFonts w:ascii="Calibri" w:hAnsi="Calibri"/>
          <w:sz w:val="15"/>
          <w:szCs w:val="15"/>
        </w:rPr>
        <w:br/>
      </w:r>
      <w:r>
        <w:rPr>
          <w:rFonts w:ascii="Calibri" w:hAnsi="Calibri"/>
          <w:sz w:val="15"/>
          <w:szCs w:val="15"/>
        </w:rPr>
        <w:br/>
      </w:r>
    </w:p>
    <w:p w14:paraId="36F02100" w14:textId="77777777" w:rsidR="008157DA" w:rsidRPr="00133707"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Thema</w:t>
      </w:r>
    </w:p>
    <w:p w14:paraId="352EDDE2" w14:textId="77777777" w:rsidR="008157DA" w:rsidRPr="00133707"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Ausgangspunkt</w:t>
      </w:r>
    </w:p>
    <w:p w14:paraId="6202FB9E"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Behauptung</w:t>
      </w:r>
    </w:p>
    <w:p w14:paraId="277BD868"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(Kern-)These</w:t>
      </w:r>
    </w:p>
    <w:p w14:paraId="5529D8DC"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Meinung, Position</w:t>
      </w:r>
    </w:p>
    <w:p w14:paraId="417149E9"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 xml:space="preserve">Begründung </w:t>
      </w:r>
    </w:p>
    <w:p w14:paraId="322D4F41"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Argument</w:t>
      </w:r>
    </w:p>
    <w:p w14:paraId="0F4641C4"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Beispiel, Vergleich Beleg</w:t>
      </w:r>
    </w:p>
    <w:p w14:paraId="1555A4D1"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Ursache</w:t>
      </w:r>
    </w:p>
    <w:p w14:paraId="11A0AAA3" w14:textId="0E7C0FCF"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Folge, Auswirkung: Gefahr,</w:t>
      </w:r>
    </w:p>
    <w:p w14:paraId="5BBEF858"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 xml:space="preserve">Chance </w:t>
      </w:r>
    </w:p>
    <w:p w14:paraId="484A2C99"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Einwand, Kritik</w:t>
      </w:r>
    </w:p>
    <w:p w14:paraId="609DC13F" w14:textId="4877241B"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Lösung, Vorschlag,</w:t>
      </w:r>
    </w:p>
    <w:p w14:paraId="1F0B7BA9"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Forderung, Wunsch</w:t>
      </w:r>
    </w:p>
    <w:p w14:paraId="1693B9D8" w14:textId="77777777" w:rsidR="008157DA" w:rsidRPr="00133707"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Pr>
          <w:rFonts w:ascii="Calibri" w:hAnsi="Calibri" w:cs="Arial"/>
          <w:sz w:val="15"/>
          <w:szCs w:val="15"/>
        </w:rPr>
        <w:t>S</w:t>
      </w:r>
      <w:r w:rsidRPr="00133707">
        <w:rPr>
          <w:rFonts w:ascii="Calibri" w:hAnsi="Calibri" w:cs="Arial"/>
          <w:sz w:val="15"/>
          <w:szCs w:val="15"/>
        </w:rPr>
        <w:t>chlussfolgerung</w:t>
      </w:r>
    </w:p>
    <w:p w14:paraId="36BF9BB4" w14:textId="691E606E" w:rsidR="008157DA" w:rsidRPr="008157DA" w:rsidRDefault="008157DA" w:rsidP="0073380A">
      <w:pPr>
        <w:pStyle w:val="Listenabsatz"/>
        <w:numPr>
          <w:ilvl w:val="0"/>
          <w:numId w:val="56"/>
        </w:numPr>
        <w:tabs>
          <w:tab w:val="left" w:pos="1134"/>
        </w:tabs>
        <w:spacing w:after="0" w:line="240" w:lineRule="auto"/>
        <w:jc w:val="left"/>
        <w:rPr>
          <w:sz w:val="16"/>
          <w:szCs w:val="16"/>
        </w:rPr>
      </w:pPr>
      <w:r w:rsidRPr="008157DA">
        <w:rPr>
          <w:rFonts w:ascii="Calibri" w:hAnsi="Calibri" w:cs="Arial"/>
          <w:sz w:val="15"/>
          <w:szCs w:val="15"/>
        </w:rPr>
        <w:t>Schluss: Warnung,</w:t>
      </w:r>
      <w:r w:rsidRPr="008157DA">
        <w:rPr>
          <w:rFonts w:ascii="Calibri" w:hAnsi="Calibri" w:cs="Arial"/>
          <w:sz w:val="15"/>
          <w:szCs w:val="15"/>
        </w:rPr>
        <w:br/>
        <w:t>Ratschlag, Hoffnung</w:t>
      </w:r>
    </w:p>
    <w:p w14:paraId="6FC51963" w14:textId="77777777" w:rsidR="008157DA" w:rsidRDefault="008157DA" w:rsidP="008157DA">
      <w:pPr>
        <w:rPr>
          <w:sz w:val="16"/>
          <w:szCs w:val="16"/>
        </w:rPr>
      </w:pPr>
    </w:p>
    <w:p w14:paraId="31329D03" w14:textId="77777777" w:rsidR="008157DA" w:rsidRPr="00C25667" w:rsidRDefault="008157DA" w:rsidP="008157DA">
      <w:pPr>
        <w:pStyle w:val="StandardWeb"/>
        <w:jc w:val="left"/>
        <w:rPr>
          <w:rFonts w:ascii="Calibri" w:hAnsi="Calibri"/>
        </w:rPr>
      </w:pPr>
    </w:p>
    <w:sectPr w:rsidR="008157DA" w:rsidRPr="00C25667" w:rsidSect="009B2C88">
      <w:headerReference w:type="default" r:id="rId19"/>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C8F0A" w14:textId="77777777" w:rsidR="000010A3" w:rsidRDefault="000010A3" w:rsidP="006667BC">
      <w:r>
        <w:separator/>
      </w:r>
    </w:p>
    <w:p w14:paraId="66185A42" w14:textId="77777777" w:rsidR="000010A3" w:rsidRDefault="000010A3"/>
  </w:endnote>
  <w:endnote w:type="continuationSeparator" w:id="0">
    <w:p w14:paraId="1D43E8A2" w14:textId="77777777" w:rsidR="000010A3" w:rsidRDefault="000010A3" w:rsidP="006667BC">
      <w:r>
        <w:continuationSeparator/>
      </w:r>
    </w:p>
    <w:p w14:paraId="5140512A" w14:textId="77777777" w:rsidR="000010A3" w:rsidRDefault="00001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PlusNormal-Roman">
    <w:charset w:val="00"/>
    <w:family w:val="auto"/>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 w:name="_”úÑ˛">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120905426"/>
      <w:docPartObj>
        <w:docPartGallery w:val="Page Numbers (Bottom of Page)"/>
        <w:docPartUnique/>
      </w:docPartObj>
    </w:sdtPr>
    <w:sdtEndPr>
      <w:rPr>
        <w:rStyle w:val="Seitenzahl"/>
      </w:rPr>
    </w:sdtEndPr>
    <w:sdtContent>
      <w:p w14:paraId="16B15F44" w14:textId="7DFF28BE" w:rsidR="007956EB" w:rsidRDefault="007956EB"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1A79FFD" w14:textId="77777777" w:rsidR="007956EB" w:rsidRDefault="007956E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603235319"/>
      <w:docPartObj>
        <w:docPartGallery w:val="Page Numbers (Bottom of Page)"/>
        <w:docPartUnique/>
      </w:docPartObj>
    </w:sdtPr>
    <w:sdtEndPr>
      <w:rPr>
        <w:rStyle w:val="Seitenzahl"/>
      </w:rPr>
    </w:sdtEndPr>
    <w:sdtContent>
      <w:p w14:paraId="4814171F" w14:textId="7FDF0DA0" w:rsidR="007956EB" w:rsidRDefault="007956EB"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1886192" w14:textId="77777777" w:rsidR="007956EB" w:rsidRDefault="007956E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1EC5E" w14:textId="77777777" w:rsidR="000010A3" w:rsidRDefault="000010A3" w:rsidP="006667BC">
      <w:r>
        <w:separator/>
      </w:r>
    </w:p>
    <w:p w14:paraId="13558AA6" w14:textId="77777777" w:rsidR="000010A3" w:rsidRDefault="000010A3"/>
  </w:footnote>
  <w:footnote w:type="continuationSeparator" w:id="0">
    <w:p w14:paraId="566F59AC" w14:textId="77777777" w:rsidR="000010A3" w:rsidRDefault="000010A3" w:rsidP="006667BC">
      <w:r>
        <w:continuationSeparator/>
      </w:r>
    </w:p>
    <w:p w14:paraId="08D0116D" w14:textId="77777777" w:rsidR="000010A3" w:rsidRDefault="000010A3"/>
  </w:footnote>
  <w:footnote w:id="1">
    <w:p w14:paraId="00348D41" w14:textId="0B111956" w:rsidR="00987CE5" w:rsidRPr="008B2DC7" w:rsidRDefault="00987CE5"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Vgl. Matthias Hong: Meinungsfreiheit und ihre Grenzen, 13.3.2020, in: APUZ 12-13/2020, unter: </w:t>
      </w:r>
      <w:hyperlink r:id="rId1" w:history="1">
        <w:r w:rsidRPr="006A5853">
          <w:rPr>
            <w:rStyle w:val="Hyperlink"/>
            <w:rFonts w:ascii="Calibri" w:hAnsi="Calibri" w:cs="Calibri"/>
            <w:sz w:val="18"/>
            <w:szCs w:val="18"/>
          </w:rPr>
          <w:t>https://www.bpb.de/apuz/306444/meinungsfreiheit-und-ihre-grenzen#footnode37-37</w:t>
        </w:r>
      </w:hyperlink>
      <w:r w:rsidRPr="008B2DC7">
        <w:rPr>
          <w:rFonts w:ascii="Calibri" w:hAnsi="Calibri" w:cs="Calibri"/>
          <w:sz w:val="18"/>
          <w:szCs w:val="18"/>
        </w:rPr>
        <w:t xml:space="preserve"> (zuletzt: </w:t>
      </w:r>
      <w:r w:rsidR="006A5853">
        <w:rPr>
          <w:rFonts w:ascii="Calibri" w:hAnsi="Calibri" w:cs="Calibri"/>
          <w:sz w:val="18"/>
          <w:szCs w:val="18"/>
        </w:rPr>
        <w:t>29.07.2025</w:t>
      </w:r>
      <w:r w:rsidRPr="008B2DC7">
        <w:rPr>
          <w:rFonts w:ascii="Calibri" w:hAnsi="Calibri" w:cs="Calibri"/>
          <w:sz w:val="18"/>
          <w:szCs w:val="18"/>
        </w:rPr>
        <w:t>).</w:t>
      </w:r>
    </w:p>
  </w:footnote>
  <w:footnote w:id="2">
    <w:p w14:paraId="7B1B9EC6" w14:textId="77777777" w:rsidR="00987CE5" w:rsidRPr="008B2DC7" w:rsidRDefault="00987CE5"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Während es zu einer Aberkennung der Grundrechte durch das Bundesverfassungsgericht bisher noch nicht kam, wurde ein Parteienverbot zwei Mal durchgesetzt. Vereinsverbote hingegen sind ein durchaus gängiges Mittel.</w:t>
      </w:r>
    </w:p>
  </w:footnote>
  <w:footnote w:id="3">
    <w:p w14:paraId="6DA6F98E" w14:textId="3371D9EA" w:rsidR="00987CE5" w:rsidRPr="008B2DC7" w:rsidRDefault="00987CE5"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BVerfG, Urteil des Zweiten Senats vom 17. Januar 2017 - 2 </w:t>
      </w:r>
      <w:proofErr w:type="spellStart"/>
      <w:r w:rsidRPr="008B2DC7">
        <w:rPr>
          <w:rFonts w:ascii="Calibri" w:hAnsi="Calibri" w:cs="Calibri"/>
          <w:sz w:val="18"/>
          <w:szCs w:val="18"/>
        </w:rPr>
        <w:t>BvB</w:t>
      </w:r>
      <w:proofErr w:type="spellEnd"/>
      <w:r w:rsidRPr="008B2DC7">
        <w:rPr>
          <w:rFonts w:ascii="Calibri" w:hAnsi="Calibri" w:cs="Calibri"/>
          <w:sz w:val="18"/>
          <w:szCs w:val="18"/>
        </w:rPr>
        <w:t xml:space="preserve"> 1/13 -, </w:t>
      </w:r>
      <w:proofErr w:type="spellStart"/>
      <w:r w:rsidRPr="008B2DC7">
        <w:rPr>
          <w:rFonts w:ascii="Calibri" w:hAnsi="Calibri" w:cs="Calibri"/>
          <w:sz w:val="18"/>
          <w:szCs w:val="18"/>
        </w:rPr>
        <w:t>Rn</w:t>
      </w:r>
      <w:proofErr w:type="spellEnd"/>
      <w:r w:rsidRPr="008B2DC7">
        <w:rPr>
          <w:rFonts w:ascii="Calibri" w:hAnsi="Calibri" w:cs="Calibri"/>
          <w:sz w:val="18"/>
          <w:szCs w:val="18"/>
        </w:rPr>
        <w:t xml:space="preserve">. (1-1010), unter: </w:t>
      </w:r>
      <w:r w:rsidRPr="008B2DC7">
        <w:rPr>
          <w:rFonts w:ascii="Calibri" w:hAnsi="Calibri" w:cs="Calibri"/>
          <w:sz w:val="18"/>
          <w:szCs w:val="18"/>
        </w:rPr>
        <w:br/>
      </w:r>
      <w:hyperlink r:id="rId2" w:history="1">
        <w:r w:rsidRPr="006A5853">
          <w:rPr>
            <w:rStyle w:val="Hyperlink"/>
            <w:rFonts w:ascii="Calibri" w:hAnsi="Calibri" w:cs="Calibri"/>
            <w:sz w:val="18"/>
            <w:szCs w:val="18"/>
          </w:rPr>
          <w:t>http://www.bverfg.de/e/bs20170117_2bvb000113.html</w:t>
        </w:r>
      </w:hyperlink>
      <w:r w:rsidRPr="008B2DC7">
        <w:rPr>
          <w:rFonts w:ascii="Calibri" w:hAnsi="Calibri" w:cs="Calibri"/>
          <w:sz w:val="18"/>
          <w:szCs w:val="18"/>
        </w:rPr>
        <w:t xml:space="preserve">, (zuletzt: </w:t>
      </w:r>
      <w:r w:rsidR="006A5853">
        <w:rPr>
          <w:rFonts w:ascii="Calibri" w:hAnsi="Calibri" w:cs="Calibri"/>
          <w:sz w:val="18"/>
          <w:szCs w:val="18"/>
        </w:rPr>
        <w:t>29.07.2025</w:t>
      </w:r>
      <w:r w:rsidRPr="008B2DC7">
        <w:rPr>
          <w:rFonts w:ascii="Calibri" w:hAnsi="Calibri" w:cs="Calibri"/>
          <w:sz w:val="18"/>
          <w:szCs w:val="18"/>
        </w:rPr>
        <w:t xml:space="preserve">). Ausschnitt aus dem Urteil des BVerfG zum NPD-Verbotsverfahren 2017.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3ECA7" w14:textId="3EE7E427" w:rsidR="00987CE5" w:rsidRPr="00BA3485" w:rsidRDefault="007956EB" w:rsidP="007956EB">
    <w:pPr>
      <w:pStyle w:val="Kopfzeile"/>
      <w:spacing w:line="276" w:lineRule="auto"/>
      <w:ind w:left="-567"/>
      <w:rPr>
        <w:rFonts w:ascii="Calibri" w:hAnsi="Calibri"/>
        <w:b/>
        <w:bCs/>
      </w:rPr>
    </w:pPr>
    <w:r w:rsidRPr="00BA3485">
      <w:rPr>
        <w:rFonts w:ascii="Calibri" w:hAnsi="Calibri"/>
        <w:b/>
        <w:bCs/>
        <w:noProof/>
        <w:lang w:eastAsia="de-DE"/>
      </w:rPr>
      <w:drawing>
        <wp:anchor distT="0" distB="0" distL="114300" distR="114300" simplePos="0" relativeHeight="251663360" behindDoc="1" locked="0" layoutInCell="1" allowOverlap="1" wp14:anchorId="6FF0596A" wp14:editId="28B7E99C">
          <wp:simplePos x="0" y="0"/>
          <wp:positionH relativeFrom="column">
            <wp:posOffset>4914900</wp:posOffset>
          </wp:positionH>
          <wp:positionV relativeFrom="paragraph">
            <wp:posOffset>-164465</wp:posOffset>
          </wp:positionV>
          <wp:extent cx="1531112" cy="373442"/>
          <wp:effectExtent l="0" t="0" r="0" b="762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987CE5" w:rsidRPr="00BA3485">
      <w:rPr>
        <w:rFonts w:ascii="Calibri" w:hAnsi="Calibri"/>
        <w:b/>
        <w:bCs/>
      </w:rPr>
      <w:t>Modul 1</w:t>
    </w:r>
    <w:r w:rsidRPr="00BA3485">
      <w:rPr>
        <w:rFonts w:ascii="Calibri" w:hAnsi="Calibri"/>
        <w:b/>
        <w:bCs/>
      </w:rPr>
      <w:t xml:space="preserve"> </w:t>
    </w:r>
    <w:r w:rsidR="00987CE5" w:rsidRPr="00BA3485">
      <w:rPr>
        <w:rFonts w:ascii="Calibri" w:hAnsi="Calibri"/>
        <w:b/>
        <w:bCs/>
      </w:rPr>
      <w:t>– Demokratie und Grundrechte</w:t>
    </w:r>
  </w:p>
  <w:p w14:paraId="565AAECA" w14:textId="2E7CE747" w:rsidR="00987CE5" w:rsidRPr="00BA3485" w:rsidRDefault="0073552B" w:rsidP="007956EB">
    <w:pPr>
      <w:pStyle w:val="Kopfzeile"/>
      <w:spacing w:line="276" w:lineRule="auto"/>
      <w:ind w:left="-567"/>
      <w:rPr>
        <w:rFonts w:ascii="Calibri" w:hAnsi="Calibri"/>
        <w:b/>
        <w:bCs/>
      </w:rPr>
    </w:pPr>
    <w:r>
      <w:rPr>
        <w:rFonts w:ascii="Calibri" w:hAnsi="Calibri" w:cs="Calibri"/>
        <w:b/>
        <w:bCs/>
      </w:rPr>
      <w:t xml:space="preserve">Vertiefung 2: </w:t>
    </w:r>
    <w:r w:rsidR="00987CE5" w:rsidRPr="00BA3485">
      <w:rPr>
        <w:rFonts w:ascii="Calibri" w:hAnsi="Calibri"/>
        <w:b/>
        <w:bCs/>
      </w:rPr>
      <w:t>Grundrechte und ihre Grenzen</w:t>
    </w:r>
    <w:r w:rsidR="007956EB" w:rsidRPr="00BA3485">
      <w:rPr>
        <w:rFonts w:ascii="Calibri" w:hAnsi="Calibri"/>
        <w:b/>
        <w:bCs/>
      </w:rPr>
      <w:t xml:space="preserve"> am Beispiel der Meinungsfreiheit</w:t>
    </w:r>
  </w:p>
  <w:p w14:paraId="0F684C56" w14:textId="5E54400A" w:rsidR="007956EB" w:rsidRPr="00BA3485" w:rsidRDefault="007956EB" w:rsidP="007956EB">
    <w:pPr>
      <w:pStyle w:val="Kopfzeile"/>
      <w:spacing w:line="276" w:lineRule="auto"/>
      <w:ind w:left="-567"/>
      <w:rPr>
        <w:rFonts w:ascii="Calibri" w:hAnsi="Calibri"/>
        <w:b/>
        <w:bCs/>
      </w:rPr>
    </w:pPr>
    <w:r w:rsidRPr="00BA3485">
      <w:rPr>
        <w:rFonts w:ascii="Calibri" w:hAnsi="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0B2B3" w14:textId="77777777" w:rsidR="007956EB" w:rsidRPr="00BA3485" w:rsidRDefault="007956EB" w:rsidP="007956EB">
    <w:pPr>
      <w:pStyle w:val="Kopfzeile"/>
      <w:spacing w:line="276" w:lineRule="auto"/>
      <w:ind w:left="-567"/>
      <w:rPr>
        <w:rFonts w:ascii="Calibri" w:hAnsi="Calibri"/>
        <w:b/>
        <w:bCs/>
      </w:rPr>
    </w:pPr>
    <w:r w:rsidRPr="00BA3485">
      <w:rPr>
        <w:rFonts w:ascii="Calibri" w:hAnsi="Calibri"/>
        <w:b/>
        <w:bCs/>
        <w:noProof/>
        <w:lang w:eastAsia="de-DE"/>
      </w:rPr>
      <w:drawing>
        <wp:anchor distT="0" distB="0" distL="114300" distR="114300" simplePos="0" relativeHeight="251669504" behindDoc="1" locked="0" layoutInCell="1" allowOverlap="1" wp14:anchorId="3A1B4C74" wp14:editId="4450DDE6">
          <wp:simplePos x="0" y="0"/>
          <wp:positionH relativeFrom="column">
            <wp:posOffset>4914900</wp:posOffset>
          </wp:positionH>
          <wp:positionV relativeFrom="paragraph">
            <wp:posOffset>-164465</wp:posOffset>
          </wp:positionV>
          <wp:extent cx="1531112" cy="373442"/>
          <wp:effectExtent l="0" t="0" r="0" b="762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BA3485">
      <w:rPr>
        <w:rFonts w:ascii="Calibri" w:hAnsi="Calibri"/>
        <w:b/>
        <w:bCs/>
      </w:rPr>
      <w:t>Modul 1 – Demokratie und Grundrechte</w:t>
    </w:r>
  </w:p>
  <w:p w14:paraId="6A144B07" w14:textId="30147EDA" w:rsidR="007956EB" w:rsidRPr="00BA3485" w:rsidRDefault="0073552B" w:rsidP="007956EB">
    <w:pPr>
      <w:pStyle w:val="Kopfzeile"/>
      <w:spacing w:line="276" w:lineRule="auto"/>
      <w:ind w:left="-567"/>
      <w:rPr>
        <w:rFonts w:ascii="Calibri" w:hAnsi="Calibri"/>
        <w:b/>
        <w:bCs/>
      </w:rPr>
    </w:pPr>
    <w:r>
      <w:rPr>
        <w:rFonts w:ascii="Calibri" w:hAnsi="Calibri" w:cs="Calibri"/>
        <w:b/>
        <w:bCs/>
      </w:rPr>
      <w:t xml:space="preserve">Vertiefung 2: </w:t>
    </w:r>
    <w:r w:rsidR="007956EB" w:rsidRPr="00BA3485">
      <w:rPr>
        <w:rFonts w:ascii="Calibri" w:hAnsi="Calibri"/>
        <w:b/>
        <w:bCs/>
      </w:rPr>
      <w:t>Grundrechte und ihre Grenzen am Beispiel der Meinungsfreiheit</w:t>
    </w:r>
  </w:p>
  <w:p w14:paraId="278F28C1" w14:textId="77777777" w:rsidR="007956EB" w:rsidRPr="00BA3485" w:rsidRDefault="007956EB" w:rsidP="007956EB">
    <w:pPr>
      <w:pStyle w:val="Kopfzeile"/>
      <w:spacing w:line="276" w:lineRule="auto"/>
      <w:ind w:left="-567"/>
      <w:rPr>
        <w:rFonts w:ascii="Calibri" w:hAnsi="Calibri"/>
        <w:b/>
        <w:bCs/>
      </w:rPr>
    </w:pPr>
    <w:r w:rsidRPr="00BA3485">
      <w:rPr>
        <w:rFonts w:ascii="Calibri" w:hAnsi="Calibri"/>
        <w:b/>
        <w:bCs/>
      </w:rPr>
      <w:t>ARBEITSBLATT</w:t>
    </w:r>
  </w:p>
  <w:p w14:paraId="080D0ECD" w14:textId="042958CF" w:rsidR="00987CE5" w:rsidRDefault="00987CE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21D50" w14:textId="77777777" w:rsidR="007956EB" w:rsidRPr="00BA3485" w:rsidRDefault="007956EB" w:rsidP="007956EB">
    <w:pPr>
      <w:pStyle w:val="Kopfzeile"/>
      <w:spacing w:line="276" w:lineRule="auto"/>
      <w:ind w:left="-567"/>
      <w:rPr>
        <w:rFonts w:ascii="Calibri" w:hAnsi="Calibri"/>
        <w:b/>
        <w:bCs/>
      </w:rPr>
    </w:pPr>
    <w:r w:rsidRPr="00BA3485">
      <w:rPr>
        <w:rFonts w:ascii="Calibri" w:hAnsi="Calibri"/>
        <w:b/>
        <w:bCs/>
        <w:noProof/>
        <w:lang w:eastAsia="de-DE"/>
      </w:rPr>
      <w:drawing>
        <wp:anchor distT="0" distB="0" distL="114300" distR="114300" simplePos="0" relativeHeight="251671552" behindDoc="1" locked="0" layoutInCell="1" allowOverlap="1" wp14:anchorId="59F8E1FC" wp14:editId="3C025C09">
          <wp:simplePos x="0" y="0"/>
          <wp:positionH relativeFrom="column">
            <wp:posOffset>4914900</wp:posOffset>
          </wp:positionH>
          <wp:positionV relativeFrom="paragraph">
            <wp:posOffset>-164465</wp:posOffset>
          </wp:positionV>
          <wp:extent cx="1531112" cy="373442"/>
          <wp:effectExtent l="0" t="0" r="0" b="762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BA3485">
      <w:rPr>
        <w:rFonts w:ascii="Calibri" w:hAnsi="Calibri"/>
        <w:b/>
        <w:bCs/>
      </w:rPr>
      <w:t>Modul 1 – Demokratie und Grundrechte</w:t>
    </w:r>
  </w:p>
  <w:p w14:paraId="20EB4B86" w14:textId="6142E6C3" w:rsidR="007956EB" w:rsidRPr="00BA3485" w:rsidRDefault="0073552B" w:rsidP="007956EB">
    <w:pPr>
      <w:pStyle w:val="Kopfzeile"/>
      <w:spacing w:line="276" w:lineRule="auto"/>
      <w:ind w:left="-567"/>
      <w:rPr>
        <w:rFonts w:ascii="Calibri" w:hAnsi="Calibri"/>
        <w:b/>
        <w:bCs/>
      </w:rPr>
    </w:pPr>
    <w:r>
      <w:rPr>
        <w:rFonts w:ascii="Calibri" w:hAnsi="Calibri" w:cs="Calibri"/>
        <w:b/>
        <w:bCs/>
      </w:rPr>
      <w:t xml:space="preserve">Vertiefung 2: </w:t>
    </w:r>
    <w:r w:rsidR="007956EB" w:rsidRPr="00BA3485">
      <w:rPr>
        <w:rFonts w:ascii="Calibri" w:hAnsi="Calibri"/>
        <w:b/>
        <w:bCs/>
      </w:rPr>
      <w:t>Grundrechte und ihre Grenzen am Beispiel der Meinungsfreiheit</w:t>
    </w:r>
  </w:p>
  <w:p w14:paraId="7DBD15C3" w14:textId="77777777" w:rsidR="007956EB" w:rsidRPr="00BA3485" w:rsidRDefault="007956EB" w:rsidP="007956EB">
    <w:pPr>
      <w:pStyle w:val="Kopfzeile"/>
      <w:spacing w:line="276" w:lineRule="auto"/>
      <w:ind w:left="-567"/>
      <w:rPr>
        <w:rFonts w:ascii="Calibri" w:hAnsi="Calibri"/>
        <w:b/>
        <w:bCs/>
      </w:rPr>
    </w:pPr>
    <w:r w:rsidRPr="00BA3485">
      <w:rPr>
        <w:rFonts w:ascii="Calibri" w:hAnsi="Calibri"/>
        <w:b/>
        <w:bCs/>
      </w:rPr>
      <w:t>ARBEITSBLATT</w:t>
    </w:r>
  </w:p>
  <w:p w14:paraId="2DEA6560" w14:textId="6D5D9FA3" w:rsidR="00D616D9" w:rsidRDefault="00D616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5C52088"/>
    <w:multiLevelType w:val="hybridMultilevel"/>
    <w:tmpl w:val="B2D64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13456D0"/>
    <w:multiLevelType w:val="hybridMultilevel"/>
    <w:tmpl w:val="26584506"/>
    <w:lvl w:ilvl="0" w:tplc="04070001">
      <w:start w:val="1"/>
      <w:numFmt w:val="bullet"/>
      <w:lvlText w:val=""/>
      <w:lvlJc w:val="left"/>
      <w:pPr>
        <w:ind w:left="927" w:hanging="360"/>
      </w:pPr>
      <w:rPr>
        <w:rFonts w:ascii="Symbol" w:hAnsi="Symbol" w:cs="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4"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6"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3D323E4"/>
    <w:multiLevelType w:val="hybridMultilevel"/>
    <w:tmpl w:val="DF1A96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4"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876112083">
    <w:abstractNumId w:val="24"/>
  </w:num>
  <w:num w:numId="2" w16cid:durableId="1951624873">
    <w:abstractNumId w:val="24"/>
  </w:num>
  <w:num w:numId="3" w16cid:durableId="375394076">
    <w:abstractNumId w:val="44"/>
  </w:num>
  <w:num w:numId="4" w16cid:durableId="1357580397">
    <w:abstractNumId w:val="19"/>
  </w:num>
  <w:num w:numId="5" w16cid:durableId="1497650158">
    <w:abstractNumId w:val="34"/>
  </w:num>
  <w:num w:numId="6" w16cid:durableId="955402382">
    <w:abstractNumId w:val="54"/>
  </w:num>
  <w:num w:numId="7" w16cid:durableId="704447273">
    <w:abstractNumId w:val="47"/>
  </w:num>
  <w:num w:numId="8" w16cid:durableId="976565311">
    <w:abstractNumId w:val="2"/>
  </w:num>
  <w:num w:numId="9" w16cid:durableId="1750230918">
    <w:abstractNumId w:val="32"/>
  </w:num>
  <w:num w:numId="10" w16cid:durableId="1865635511">
    <w:abstractNumId w:val="35"/>
  </w:num>
  <w:num w:numId="11" w16cid:durableId="301817077">
    <w:abstractNumId w:val="38"/>
  </w:num>
  <w:num w:numId="12" w16cid:durableId="1124539509">
    <w:abstractNumId w:val="41"/>
  </w:num>
  <w:num w:numId="13" w16cid:durableId="913929008">
    <w:abstractNumId w:val="40"/>
  </w:num>
  <w:num w:numId="14" w16cid:durableId="253520264">
    <w:abstractNumId w:val="31"/>
  </w:num>
  <w:num w:numId="15" w16cid:durableId="891386440">
    <w:abstractNumId w:val="46"/>
  </w:num>
  <w:num w:numId="16" w16cid:durableId="590967961">
    <w:abstractNumId w:val="1"/>
  </w:num>
  <w:num w:numId="17" w16cid:durableId="974919274">
    <w:abstractNumId w:val="51"/>
  </w:num>
  <w:num w:numId="18" w16cid:durableId="227376041">
    <w:abstractNumId w:val="48"/>
  </w:num>
  <w:num w:numId="19" w16cid:durableId="514198989">
    <w:abstractNumId w:val="45"/>
  </w:num>
  <w:num w:numId="20" w16cid:durableId="1323050692">
    <w:abstractNumId w:val="20"/>
  </w:num>
  <w:num w:numId="21" w16cid:durableId="601231154">
    <w:abstractNumId w:val="55"/>
  </w:num>
  <w:num w:numId="22" w16cid:durableId="1283685523">
    <w:abstractNumId w:val="29"/>
  </w:num>
  <w:num w:numId="23" w16cid:durableId="243880600">
    <w:abstractNumId w:val="22"/>
  </w:num>
  <w:num w:numId="24" w16cid:durableId="1130898049">
    <w:abstractNumId w:val="53"/>
  </w:num>
  <w:num w:numId="25" w16cid:durableId="520053775">
    <w:abstractNumId w:val="26"/>
  </w:num>
  <w:num w:numId="26" w16cid:durableId="1042511273">
    <w:abstractNumId w:val="42"/>
  </w:num>
  <w:num w:numId="27" w16cid:durableId="1974558836">
    <w:abstractNumId w:val="4"/>
  </w:num>
  <w:num w:numId="28" w16cid:durableId="528227724">
    <w:abstractNumId w:val="10"/>
  </w:num>
  <w:num w:numId="29" w16cid:durableId="1327512714">
    <w:abstractNumId w:val="27"/>
  </w:num>
  <w:num w:numId="30" w16cid:durableId="1136266209">
    <w:abstractNumId w:val="30"/>
  </w:num>
  <w:num w:numId="31" w16cid:durableId="932738109">
    <w:abstractNumId w:val="11"/>
  </w:num>
  <w:num w:numId="32" w16cid:durableId="466046898">
    <w:abstractNumId w:val="8"/>
  </w:num>
  <w:num w:numId="33" w16cid:durableId="1234003032">
    <w:abstractNumId w:val="17"/>
  </w:num>
  <w:num w:numId="34" w16cid:durableId="662974750">
    <w:abstractNumId w:val="15"/>
  </w:num>
  <w:num w:numId="35" w16cid:durableId="1454594485">
    <w:abstractNumId w:val="7"/>
  </w:num>
  <w:num w:numId="36" w16cid:durableId="651637950">
    <w:abstractNumId w:val="3"/>
  </w:num>
  <w:num w:numId="37" w16cid:durableId="1110590891">
    <w:abstractNumId w:val="18"/>
  </w:num>
  <w:num w:numId="38" w16cid:durableId="1021126602">
    <w:abstractNumId w:val="52"/>
  </w:num>
  <w:num w:numId="39" w16cid:durableId="1228880403">
    <w:abstractNumId w:val="23"/>
  </w:num>
  <w:num w:numId="40" w16cid:durableId="1943106101">
    <w:abstractNumId w:val="25"/>
  </w:num>
  <w:num w:numId="41" w16cid:durableId="1769158369">
    <w:abstractNumId w:val="0"/>
  </w:num>
  <w:num w:numId="42" w16cid:durableId="1688093610">
    <w:abstractNumId w:val="28"/>
  </w:num>
  <w:num w:numId="43" w16cid:durableId="173157279">
    <w:abstractNumId w:val="13"/>
  </w:num>
  <w:num w:numId="44" w16cid:durableId="480002119">
    <w:abstractNumId w:val="9"/>
  </w:num>
  <w:num w:numId="45" w16cid:durableId="1096245591">
    <w:abstractNumId w:val="12"/>
  </w:num>
  <w:num w:numId="46" w16cid:durableId="144976665">
    <w:abstractNumId w:val="50"/>
  </w:num>
  <w:num w:numId="47" w16cid:durableId="1199584837">
    <w:abstractNumId w:val="5"/>
  </w:num>
  <w:num w:numId="48" w16cid:durableId="1586770152">
    <w:abstractNumId w:val="33"/>
  </w:num>
  <w:num w:numId="49" w16cid:durableId="195242721">
    <w:abstractNumId w:val="6"/>
  </w:num>
  <w:num w:numId="50" w16cid:durableId="535124182">
    <w:abstractNumId w:val="37"/>
  </w:num>
  <w:num w:numId="51" w16cid:durableId="1320109501">
    <w:abstractNumId w:val="36"/>
  </w:num>
  <w:num w:numId="52" w16cid:durableId="1861353660">
    <w:abstractNumId w:val="21"/>
  </w:num>
  <w:num w:numId="53" w16cid:durableId="643197428">
    <w:abstractNumId w:val="16"/>
  </w:num>
  <w:num w:numId="54" w16cid:durableId="825897865">
    <w:abstractNumId w:val="14"/>
  </w:num>
  <w:num w:numId="55" w16cid:durableId="2050521064">
    <w:abstractNumId w:val="49"/>
  </w:num>
  <w:num w:numId="56" w16cid:durableId="1570846547">
    <w:abstractNumId w:val="43"/>
  </w:num>
  <w:num w:numId="57" w16cid:durableId="42608040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10A3"/>
    <w:rsid w:val="00003F3C"/>
    <w:rsid w:val="000052C5"/>
    <w:rsid w:val="000108DA"/>
    <w:rsid w:val="00017FFE"/>
    <w:rsid w:val="000361B2"/>
    <w:rsid w:val="00037FCC"/>
    <w:rsid w:val="000402D0"/>
    <w:rsid w:val="000455D2"/>
    <w:rsid w:val="00052E1B"/>
    <w:rsid w:val="00055C3F"/>
    <w:rsid w:val="00061B54"/>
    <w:rsid w:val="00073F87"/>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56E9"/>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678C1"/>
    <w:rsid w:val="00272FAE"/>
    <w:rsid w:val="00283F52"/>
    <w:rsid w:val="002A15F7"/>
    <w:rsid w:val="002B4413"/>
    <w:rsid w:val="002B4A91"/>
    <w:rsid w:val="002D2AEB"/>
    <w:rsid w:val="002D5B43"/>
    <w:rsid w:val="002D7C9E"/>
    <w:rsid w:val="002E1829"/>
    <w:rsid w:val="002E1DB4"/>
    <w:rsid w:val="002E31CE"/>
    <w:rsid w:val="002E340B"/>
    <w:rsid w:val="002F4B63"/>
    <w:rsid w:val="002F580D"/>
    <w:rsid w:val="00304EB8"/>
    <w:rsid w:val="003270A8"/>
    <w:rsid w:val="00332328"/>
    <w:rsid w:val="0033596F"/>
    <w:rsid w:val="00356FBF"/>
    <w:rsid w:val="0036432C"/>
    <w:rsid w:val="00364368"/>
    <w:rsid w:val="0037078E"/>
    <w:rsid w:val="00381AAB"/>
    <w:rsid w:val="003831EA"/>
    <w:rsid w:val="003B3994"/>
    <w:rsid w:val="003C2EFA"/>
    <w:rsid w:val="003C57F8"/>
    <w:rsid w:val="003D6300"/>
    <w:rsid w:val="003E3E85"/>
    <w:rsid w:val="003E4080"/>
    <w:rsid w:val="003E7988"/>
    <w:rsid w:val="003F09E9"/>
    <w:rsid w:val="003F48E3"/>
    <w:rsid w:val="003F5518"/>
    <w:rsid w:val="00402841"/>
    <w:rsid w:val="004036A5"/>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27FCB"/>
    <w:rsid w:val="00544523"/>
    <w:rsid w:val="0054488B"/>
    <w:rsid w:val="00546389"/>
    <w:rsid w:val="005562D4"/>
    <w:rsid w:val="0057009B"/>
    <w:rsid w:val="00577DC3"/>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36918"/>
    <w:rsid w:val="00644C20"/>
    <w:rsid w:val="00662743"/>
    <w:rsid w:val="006667BC"/>
    <w:rsid w:val="00667C30"/>
    <w:rsid w:val="00672982"/>
    <w:rsid w:val="00672CB6"/>
    <w:rsid w:val="006735FB"/>
    <w:rsid w:val="00681200"/>
    <w:rsid w:val="00683FB9"/>
    <w:rsid w:val="00695FEF"/>
    <w:rsid w:val="006A1488"/>
    <w:rsid w:val="006A1A3D"/>
    <w:rsid w:val="006A5853"/>
    <w:rsid w:val="006B30DB"/>
    <w:rsid w:val="006C2947"/>
    <w:rsid w:val="006C41C3"/>
    <w:rsid w:val="006D1B15"/>
    <w:rsid w:val="006D1CDE"/>
    <w:rsid w:val="006E1FA9"/>
    <w:rsid w:val="0070225D"/>
    <w:rsid w:val="007037C7"/>
    <w:rsid w:val="00712BBF"/>
    <w:rsid w:val="00712C81"/>
    <w:rsid w:val="007130BC"/>
    <w:rsid w:val="0073552B"/>
    <w:rsid w:val="00751F49"/>
    <w:rsid w:val="0075372B"/>
    <w:rsid w:val="00755393"/>
    <w:rsid w:val="007667FC"/>
    <w:rsid w:val="00775BED"/>
    <w:rsid w:val="00785113"/>
    <w:rsid w:val="00786AFF"/>
    <w:rsid w:val="00790B51"/>
    <w:rsid w:val="00792C91"/>
    <w:rsid w:val="00792DEA"/>
    <w:rsid w:val="007956EB"/>
    <w:rsid w:val="007C72ED"/>
    <w:rsid w:val="007D0141"/>
    <w:rsid w:val="007D31C2"/>
    <w:rsid w:val="007D7FD9"/>
    <w:rsid w:val="007E0972"/>
    <w:rsid w:val="007E0F31"/>
    <w:rsid w:val="007E1B45"/>
    <w:rsid w:val="007E37BE"/>
    <w:rsid w:val="007E5BB5"/>
    <w:rsid w:val="007E7640"/>
    <w:rsid w:val="007F0F81"/>
    <w:rsid w:val="007F7E98"/>
    <w:rsid w:val="0080016A"/>
    <w:rsid w:val="008004D6"/>
    <w:rsid w:val="0080095B"/>
    <w:rsid w:val="00804D22"/>
    <w:rsid w:val="0081344D"/>
    <w:rsid w:val="008153E7"/>
    <w:rsid w:val="008157DA"/>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20B4D"/>
    <w:rsid w:val="00931F3B"/>
    <w:rsid w:val="00932425"/>
    <w:rsid w:val="009368DF"/>
    <w:rsid w:val="009434FC"/>
    <w:rsid w:val="00970030"/>
    <w:rsid w:val="00975F4D"/>
    <w:rsid w:val="00977255"/>
    <w:rsid w:val="00984A70"/>
    <w:rsid w:val="00987CE5"/>
    <w:rsid w:val="009902E1"/>
    <w:rsid w:val="00992A65"/>
    <w:rsid w:val="009976F1"/>
    <w:rsid w:val="009A6009"/>
    <w:rsid w:val="009B282E"/>
    <w:rsid w:val="009B2C88"/>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00FA5"/>
    <w:rsid w:val="00B16694"/>
    <w:rsid w:val="00B324CA"/>
    <w:rsid w:val="00B34F75"/>
    <w:rsid w:val="00B3790E"/>
    <w:rsid w:val="00B50851"/>
    <w:rsid w:val="00B55737"/>
    <w:rsid w:val="00B621C7"/>
    <w:rsid w:val="00B62880"/>
    <w:rsid w:val="00B75958"/>
    <w:rsid w:val="00B8497B"/>
    <w:rsid w:val="00BA2094"/>
    <w:rsid w:val="00BA28F5"/>
    <w:rsid w:val="00BA3485"/>
    <w:rsid w:val="00BB2CA8"/>
    <w:rsid w:val="00BB5CCD"/>
    <w:rsid w:val="00BB6785"/>
    <w:rsid w:val="00BC58A0"/>
    <w:rsid w:val="00BD1B36"/>
    <w:rsid w:val="00BD3024"/>
    <w:rsid w:val="00BD4039"/>
    <w:rsid w:val="00C051E8"/>
    <w:rsid w:val="00C16037"/>
    <w:rsid w:val="00C17790"/>
    <w:rsid w:val="00C25667"/>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08EC"/>
    <w:rsid w:val="00D04DAF"/>
    <w:rsid w:val="00D16C7E"/>
    <w:rsid w:val="00D25C00"/>
    <w:rsid w:val="00D530A3"/>
    <w:rsid w:val="00D616D9"/>
    <w:rsid w:val="00D61B16"/>
    <w:rsid w:val="00D62B50"/>
    <w:rsid w:val="00D64C36"/>
    <w:rsid w:val="00D67133"/>
    <w:rsid w:val="00D81DAE"/>
    <w:rsid w:val="00D84E02"/>
    <w:rsid w:val="00D9493E"/>
    <w:rsid w:val="00DA0494"/>
    <w:rsid w:val="00DA14D4"/>
    <w:rsid w:val="00DA5D99"/>
    <w:rsid w:val="00DB0ADF"/>
    <w:rsid w:val="00DB5274"/>
    <w:rsid w:val="00DB7D66"/>
    <w:rsid w:val="00DC5287"/>
    <w:rsid w:val="00DC5F79"/>
    <w:rsid w:val="00DC755D"/>
    <w:rsid w:val="00DD1495"/>
    <w:rsid w:val="00DD386B"/>
    <w:rsid w:val="00DE023B"/>
    <w:rsid w:val="00DE3B10"/>
    <w:rsid w:val="00DE7FE2"/>
    <w:rsid w:val="00E00351"/>
    <w:rsid w:val="00E003A7"/>
    <w:rsid w:val="00E05BB3"/>
    <w:rsid w:val="00E13F8A"/>
    <w:rsid w:val="00E1535F"/>
    <w:rsid w:val="00E16BDC"/>
    <w:rsid w:val="00E1783F"/>
    <w:rsid w:val="00E20EEE"/>
    <w:rsid w:val="00E22698"/>
    <w:rsid w:val="00E2598C"/>
    <w:rsid w:val="00E35764"/>
    <w:rsid w:val="00E358CA"/>
    <w:rsid w:val="00E50EC7"/>
    <w:rsid w:val="00E526D2"/>
    <w:rsid w:val="00E54F45"/>
    <w:rsid w:val="00E56AB0"/>
    <w:rsid w:val="00E60323"/>
    <w:rsid w:val="00E61E07"/>
    <w:rsid w:val="00E67325"/>
    <w:rsid w:val="00E70C53"/>
    <w:rsid w:val="00E7210C"/>
    <w:rsid w:val="00E728D4"/>
    <w:rsid w:val="00E72A6D"/>
    <w:rsid w:val="00E775EE"/>
    <w:rsid w:val="00E81CFA"/>
    <w:rsid w:val="00E83255"/>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16D4E"/>
    <w:rsid w:val="00F204A7"/>
    <w:rsid w:val="00F23D06"/>
    <w:rsid w:val="00F24179"/>
    <w:rsid w:val="00F258AF"/>
    <w:rsid w:val="00F2711A"/>
    <w:rsid w:val="00F27355"/>
    <w:rsid w:val="00F30B79"/>
    <w:rsid w:val="00F30CD2"/>
    <w:rsid w:val="00F37B9D"/>
    <w:rsid w:val="00F52773"/>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A3485"/>
    <w:pPr>
      <w:spacing w:after="0" w:line="240" w:lineRule="auto"/>
      <w:jc w:val="left"/>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A40ADA"/>
    <w:pPr>
      <w:spacing w:before="300" w:after="40" w:line="276" w:lineRule="auto"/>
      <w:outlineLvl w:val="0"/>
    </w:pPr>
    <w:rPr>
      <w:rFonts w:asciiTheme="minorHAnsi" w:eastAsiaTheme="minorEastAsia" w:hAnsiTheme="minorHAnsi" w:cstheme="minorBidi"/>
      <w:smallCaps/>
      <w:spacing w:val="5"/>
      <w:sz w:val="32"/>
      <w:szCs w:val="32"/>
      <w:lang w:eastAsia="en-US"/>
    </w:rPr>
  </w:style>
  <w:style w:type="paragraph" w:styleId="berschrift2">
    <w:name w:val="heading 2"/>
    <w:basedOn w:val="Standard"/>
    <w:next w:val="Standard"/>
    <w:link w:val="berschrift2Zchn"/>
    <w:uiPriority w:val="9"/>
    <w:semiHidden/>
    <w:unhideWhenUsed/>
    <w:qFormat/>
    <w:rsid w:val="00A40ADA"/>
    <w:pPr>
      <w:spacing w:before="240" w:after="80" w:line="276" w:lineRule="auto"/>
      <w:outlineLvl w:val="1"/>
    </w:pPr>
    <w:rPr>
      <w:rFonts w:asciiTheme="minorHAnsi" w:eastAsiaTheme="minorEastAsia" w:hAnsiTheme="minorHAnsi" w:cstheme="minorBidi"/>
      <w:smallCaps/>
      <w:spacing w:val="5"/>
      <w:sz w:val="28"/>
      <w:szCs w:val="28"/>
      <w:lang w:eastAsia="en-US"/>
    </w:rPr>
  </w:style>
  <w:style w:type="paragraph" w:styleId="berschrift3">
    <w:name w:val="heading 3"/>
    <w:basedOn w:val="Standard"/>
    <w:next w:val="Standard"/>
    <w:link w:val="berschrift3Zchn"/>
    <w:uiPriority w:val="9"/>
    <w:semiHidden/>
    <w:unhideWhenUsed/>
    <w:qFormat/>
    <w:rsid w:val="00A40ADA"/>
    <w:pPr>
      <w:outlineLvl w:val="2"/>
    </w:pPr>
    <w:rPr>
      <w:smallCaps/>
      <w:spacing w:val="5"/>
    </w:rPr>
  </w:style>
  <w:style w:type="paragraph" w:styleId="berschrift4">
    <w:name w:val="heading 4"/>
    <w:basedOn w:val="Standard"/>
    <w:next w:val="Standard"/>
    <w:link w:val="berschrift4Zchn"/>
    <w:uiPriority w:val="9"/>
    <w:semiHidden/>
    <w:unhideWhenUsed/>
    <w:qFormat/>
    <w:rsid w:val="00A40ADA"/>
    <w:pPr>
      <w:spacing w:before="240"/>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jc w:val="both"/>
    </w:pPr>
    <w:rPr>
      <w:rFonts w:ascii="Verdana" w:hAnsi="Verdana"/>
      <w:sz w:val="20"/>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after="200"/>
      <w:jc w:val="both"/>
    </w:pPr>
    <w:rPr>
      <w:rFonts w:asciiTheme="minorHAnsi" w:eastAsiaTheme="minorEastAsia"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spacing w:after="200" w:line="276" w:lineRule="auto"/>
      <w:ind w:left="720"/>
      <w:contextualSpacing/>
      <w:jc w:val="both"/>
    </w:pPr>
    <w:rPr>
      <w:rFonts w:asciiTheme="minorHAnsi" w:eastAsiaTheme="minorEastAsia" w:hAnsiTheme="minorHAnsi" w:cstheme="minorBidi"/>
      <w:sz w:val="20"/>
      <w:szCs w:val="20"/>
      <w:lang w:eastAsia="en-US"/>
    </w:rPr>
  </w:style>
  <w:style w:type="paragraph" w:customStyle="1" w:styleId="Pa18">
    <w:name w:val="Pa18"/>
    <w:basedOn w:val="Standard"/>
    <w:next w:val="Standard"/>
    <w:uiPriority w:val="99"/>
    <w:rsid w:val="00866077"/>
    <w:pPr>
      <w:autoSpaceDE w:val="0"/>
      <w:autoSpaceDN w:val="0"/>
      <w:adjustRightInd w:val="0"/>
      <w:spacing w:line="241" w:lineRule="atLeast"/>
      <w:jc w:val="both"/>
    </w:pPr>
    <w:rPr>
      <w:rFonts w:ascii="Meta Plus Bold" w:eastAsiaTheme="minorEastAsia" w:hAnsi="Meta Plus Bold" w:cstheme="minorBidi"/>
      <w:lang w:eastAsia="en-US"/>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line="241" w:lineRule="atLeast"/>
      <w:jc w:val="both"/>
    </w:pPr>
    <w:rPr>
      <w:rFonts w:ascii="Meta Plus Bold" w:eastAsiaTheme="minorEastAsia" w:hAnsi="Meta Plus Bold" w:cstheme="minorBidi"/>
      <w:lang w:eastAsia="en-US"/>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jc w:val="both"/>
    </w:pPr>
    <w:rPr>
      <w:rFonts w:asciiTheme="minorHAnsi" w:eastAsiaTheme="minorEastAsia"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jc w:val="both"/>
    </w:pPr>
  </w:style>
  <w:style w:type="paragraph" w:customStyle="1" w:styleId="Untertitel1">
    <w:name w:val="Untertitel1"/>
    <w:basedOn w:val="Standard"/>
    <w:rsid w:val="00970030"/>
    <w:pPr>
      <w:spacing w:before="100" w:beforeAutospacing="1" w:after="100" w:afterAutospacing="1"/>
      <w:jc w:val="both"/>
    </w:p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jc w:val="both"/>
    </w:pPr>
    <w:rPr>
      <w:rFonts w:asciiTheme="minorHAnsi" w:eastAsiaTheme="minorEastAsia" w:hAnsiTheme="minorHAnsi" w:cstheme="minorBidi"/>
      <w:sz w:val="20"/>
      <w:szCs w:val="20"/>
      <w:lang w:eastAsia="en-US"/>
    </w:r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jc w:val="both"/>
    </w:pPr>
    <w:rPr>
      <w:rFonts w:asciiTheme="minorHAnsi" w:eastAsiaTheme="minorEastAsia" w:hAnsiTheme="minorHAnsi" w:cstheme="minorBidi"/>
      <w:sz w:val="20"/>
      <w:szCs w:val="20"/>
      <w:lang w:eastAsia="en-US"/>
    </w:r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line="221" w:lineRule="atLeast"/>
      <w:jc w:val="both"/>
    </w:pPr>
    <w:rPr>
      <w:rFonts w:ascii="Gotham Narrow Bold" w:eastAsiaTheme="minorEastAsia" w:hAnsi="Gotham Narrow Bold" w:cstheme="minorBidi"/>
      <w:lang w:eastAsia="en-US"/>
    </w:rPr>
  </w:style>
  <w:style w:type="paragraph" w:customStyle="1" w:styleId="Pa10">
    <w:name w:val="Pa10"/>
    <w:basedOn w:val="Standard"/>
    <w:next w:val="Standard"/>
    <w:uiPriority w:val="99"/>
    <w:rsid w:val="00037FCC"/>
    <w:pPr>
      <w:autoSpaceDE w:val="0"/>
      <w:autoSpaceDN w:val="0"/>
      <w:adjustRightInd w:val="0"/>
      <w:spacing w:line="221" w:lineRule="atLeast"/>
      <w:jc w:val="both"/>
    </w:pPr>
    <w:rPr>
      <w:rFonts w:ascii="Gotham Narrow Bold" w:eastAsiaTheme="minorEastAsia" w:hAnsi="Gotham Narrow Bold" w:cstheme="minorBidi"/>
      <w:lang w:eastAsia="en-US"/>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jc w:val="both"/>
    </w:pPr>
    <w:rPr>
      <w:rFonts w:asciiTheme="minorHAnsi" w:eastAsiaTheme="minorEastAsia" w:hAnsiTheme="minorHAnsi" w:cstheme="minorBidi"/>
      <w:sz w:val="20"/>
      <w:szCs w:val="20"/>
      <w:lang w:eastAsia="en-US"/>
    </w:r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after="200"/>
      <w:jc w:val="right"/>
    </w:pPr>
    <w:rPr>
      <w:rFonts w:asciiTheme="minorHAnsi" w:eastAsiaTheme="minorEastAsia" w:hAnsiTheme="minorHAnsi" w:cstheme="minorBidi"/>
      <w:smallCaps/>
      <w:sz w:val="48"/>
      <w:szCs w:val="48"/>
      <w:lang w:eastAsia="en-US"/>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jc w:val="right"/>
    </w:pPr>
    <w:rPr>
      <w:rFonts w:asciiTheme="majorHAnsi" w:eastAsiaTheme="majorEastAsia" w:hAnsiTheme="majorHAnsi" w:cstheme="majorBidi"/>
      <w:sz w:val="20"/>
      <w:szCs w:val="22"/>
      <w:lang w:eastAsia="en-US"/>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pPr>
      <w:spacing w:after="200" w:line="276" w:lineRule="auto"/>
      <w:jc w:val="both"/>
    </w:pPr>
    <w:rPr>
      <w:rFonts w:asciiTheme="minorHAnsi" w:eastAsiaTheme="minorEastAsia" w:hAnsiTheme="minorHAnsi" w:cstheme="minorBidi"/>
      <w:i/>
      <w:sz w:val="20"/>
      <w:szCs w:val="20"/>
      <w:lang w:eastAsia="en-US"/>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line="276" w:lineRule="auto"/>
      <w:ind w:left="1440" w:right="1440"/>
      <w:jc w:val="both"/>
    </w:pPr>
    <w:rPr>
      <w:rFonts w:asciiTheme="minorHAnsi" w:eastAsiaTheme="minorEastAsia" w:hAnsiTheme="minorHAnsi" w:cstheme="minorBidi"/>
      <w:b/>
      <w:i/>
      <w:color w:val="FFFFFF" w:themeColor="background1"/>
      <w:sz w:val="20"/>
      <w:szCs w:val="20"/>
      <w:lang w:eastAsia="en-US"/>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7956EB"/>
  </w:style>
  <w:style w:type="character" w:styleId="NichtaufgelsteErwhnung">
    <w:name w:val="Unresolved Mention"/>
    <w:basedOn w:val="Absatz-Standardschriftart"/>
    <w:uiPriority w:val="99"/>
    <w:semiHidden/>
    <w:unhideWhenUsed/>
    <w:rsid w:val="006A58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212543247">
      <w:bodyDiv w:val="1"/>
      <w:marLeft w:val="0"/>
      <w:marRight w:val="0"/>
      <w:marTop w:val="0"/>
      <w:marBottom w:val="0"/>
      <w:divBdr>
        <w:top w:val="none" w:sz="0" w:space="0" w:color="auto"/>
        <w:left w:val="none" w:sz="0" w:space="0" w:color="auto"/>
        <w:bottom w:val="none" w:sz="0" w:space="0" w:color="auto"/>
        <w:right w:val="none" w:sz="0" w:space="0" w:color="auto"/>
      </w:divBdr>
    </w:div>
    <w:div w:id="303119548">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568923093">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751466229">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14882331">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e.wikipedia.org/wiki/Ethnie" TargetMode="External"/><Relationship Id="rId18" Type="http://schemas.openxmlformats.org/officeDocument/2006/relationships/hyperlink" Target="http://www.deutschlandfunk.de/meinungsfreiheit-wo-die-grenzen-des-sagbaren-liegen.1148.de.html?dram:article_id=44162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e.wikipedia.org/wiki/Relig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de.wikipedia.org/wiki/Ethni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Nation" TargetMode="External"/><Relationship Id="rId5" Type="http://schemas.openxmlformats.org/officeDocument/2006/relationships/webSettings" Target="webSettings.xml"/><Relationship Id="rId15" Type="http://schemas.openxmlformats.org/officeDocument/2006/relationships/hyperlink" Target="https://de.wikipedia.org/wiki/Religion" TargetMode="Externa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e.wikipedia.org/wiki/Natio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bverfg.de/e/bs20170117_2bvb000113.html" TargetMode="External"/><Relationship Id="rId1" Type="http://schemas.openxmlformats.org/officeDocument/2006/relationships/hyperlink" Target="https://www.bpb.de/apuz/306444/meinungsfreiheit-und-ihre-grenzen#footnode37-3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9078C-55FA-7B46-81B8-BDA52A03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1493</Words>
  <Characters>9406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15</cp:revision>
  <cp:lastPrinted>2025-07-29T08:19:00Z</cp:lastPrinted>
  <dcterms:created xsi:type="dcterms:W3CDTF">2020-07-10T08:29:00Z</dcterms:created>
  <dcterms:modified xsi:type="dcterms:W3CDTF">2025-07-29T08:56:00Z</dcterms:modified>
</cp:coreProperties>
</file>